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1E6B" w14:textId="6DCCF5C4" w:rsidR="00B0263B" w:rsidRDefault="00EC106A" w:rsidP="00EC106A">
      <w:pPr>
        <w:pStyle w:val="Title"/>
      </w:pPr>
      <w:r>
        <w:rPr>
          <w:noProof/>
          <w:color w:val="2B579A"/>
          <w:shd w:val="clear" w:color="auto" w:fill="E6E6E6"/>
        </w:rPr>
        <w:drawing>
          <wp:inline distT="0" distB="0" distL="0" distR="0" wp14:anchorId="6AFD510B" wp14:editId="5B359EC3">
            <wp:extent cx="2190750" cy="1033764"/>
            <wp:effectExtent l="0" t="0" r="0" b="0"/>
            <wp:docPr id="1" name="Picture 1" descr="Montana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ana DEQ Logo"/>
                    <pic:cNvPicPr/>
                  </pic:nvPicPr>
                  <pic:blipFill>
                    <a:blip r:embed="rId8">
                      <a:extLst>
                        <a:ext uri="{28A0092B-C50C-407E-A947-70E740481C1C}">
                          <a14:useLocalDpi xmlns:a14="http://schemas.microsoft.com/office/drawing/2010/main" val="0"/>
                        </a:ext>
                      </a:extLst>
                    </a:blip>
                    <a:stretch>
                      <a:fillRect/>
                    </a:stretch>
                  </pic:blipFill>
                  <pic:spPr>
                    <a:xfrm>
                      <a:off x="0" y="0"/>
                      <a:ext cx="2197139" cy="1036779"/>
                    </a:xfrm>
                    <a:prstGeom prst="rect">
                      <a:avLst/>
                    </a:prstGeom>
                  </pic:spPr>
                </pic:pic>
              </a:graphicData>
            </a:graphic>
          </wp:inline>
        </w:drawing>
      </w:r>
    </w:p>
    <w:p w14:paraId="7D160F9F" w14:textId="46FCFA79" w:rsidR="00B0263B" w:rsidRPr="0064699B" w:rsidRDefault="00B0263B" w:rsidP="0064699B">
      <w:pPr>
        <w:pStyle w:val="Title"/>
        <w:rPr>
          <w:sz w:val="20"/>
          <w:szCs w:val="20"/>
        </w:rPr>
      </w:pPr>
    </w:p>
    <w:p w14:paraId="1CC280A7" w14:textId="77777777" w:rsidR="00B0263B" w:rsidRDefault="00B0263B" w:rsidP="00661E2B">
      <w:pPr>
        <w:pStyle w:val="Title"/>
        <w:jc w:val="center"/>
      </w:pPr>
    </w:p>
    <w:p w14:paraId="4198EC95" w14:textId="77777777" w:rsidR="00B0263B" w:rsidRDefault="00B0263B" w:rsidP="00661E2B">
      <w:pPr>
        <w:pStyle w:val="Title"/>
        <w:jc w:val="center"/>
      </w:pPr>
    </w:p>
    <w:p w14:paraId="110163A9" w14:textId="77777777" w:rsidR="000922C8" w:rsidRDefault="00EC106A" w:rsidP="00E77169">
      <w:pPr>
        <w:pStyle w:val="Title"/>
        <w:jc w:val="center"/>
        <w:rPr>
          <w:rFonts w:ascii="Times New Roman" w:hAnsi="Times New Roman" w:cs="Times New Roman"/>
          <w:b/>
          <w:bCs/>
        </w:rPr>
      </w:pPr>
      <w:r w:rsidRPr="00EC106A">
        <w:rPr>
          <w:rFonts w:ascii="Times New Roman" w:hAnsi="Times New Roman" w:cs="Times New Roman"/>
          <w:b/>
          <w:bCs/>
        </w:rPr>
        <w:t>B</w:t>
      </w:r>
      <w:r w:rsidR="00E76240">
        <w:rPr>
          <w:rFonts w:ascii="Times New Roman" w:hAnsi="Times New Roman" w:cs="Times New Roman"/>
          <w:b/>
          <w:bCs/>
        </w:rPr>
        <w:t>rownfields</w:t>
      </w:r>
      <w:r w:rsidRPr="00EC106A">
        <w:rPr>
          <w:rFonts w:ascii="Times New Roman" w:hAnsi="Times New Roman" w:cs="Times New Roman"/>
          <w:b/>
          <w:bCs/>
        </w:rPr>
        <w:t xml:space="preserve"> S</w:t>
      </w:r>
      <w:r w:rsidR="00E76240">
        <w:rPr>
          <w:rFonts w:ascii="Times New Roman" w:hAnsi="Times New Roman" w:cs="Times New Roman"/>
          <w:b/>
          <w:bCs/>
        </w:rPr>
        <w:t xml:space="preserve">tate </w:t>
      </w:r>
      <w:r w:rsidRPr="00EC106A">
        <w:rPr>
          <w:rFonts w:ascii="Times New Roman" w:hAnsi="Times New Roman" w:cs="Times New Roman"/>
          <w:b/>
          <w:bCs/>
        </w:rPr>
        <w:t>R</w:t>
      </w:r>
      <w:r w:rsidR="00E76240">
        <w:rPr>
          <w:rFonts w:ascii="Times New Roman" w:hAnsi="Times New Roman" w:cs="Times New Roman"/>
          <w:b/>
          <w:bCs/>
        </w:rPr>
        <w:t>edevelopment</w:t>
      </w:r>
      <w:r w:rsidRPr="00EC106A">
        <w:rPr>
          <w:rFonts w:ascii="Times New Roman" w:hAnsi="Times New Roman" w:cs="Times New Roman"/>
          <w:b/>
          <w:bCs/>
        </w:rPr>
        <w:t xml:space="preserve"> F</w:t>
      </w:r>
      <w:r w:rsidR="00E76240">
        <w:rPr>
          <w:rFonts w:ascii="Times New Roman" w:hAnsi="Times New Roman" w:cs="Times New Roman"/>
          <w:b/>
          <w:bCs/>
        </w:rPr>
        <w:t>und</w:t>
      </w:r>
      <w:r w:rsidR="00E77169">
        <w:rPr>
          <w:rFonts w:ascii="Times New Roman" w:hAnsi="Times New Roman" w:cs="Times New Roman"/>
          <w:b/>
          <w:bCs/>
        </w:rPr>
        <w:t xml:space="preserve"> Guidance</w:t>
      </w:r>
    </w:p>
    <w:p w14:paraId="540B31F6" w14:textId="12F6615A" w:rsidR="000C66C4" w:rsidRDefault="00EC106A" w:rsidP="00E77169">
      <w:pPr>
        <w:pStyle w:val="Title"/>
        <w:jc w:val="center"/>
        <w:rPr>
          <w:rFonts w:ascii="Times New Roman" w:hAnsi="Times New Roman" w:cs="Times New Roman"/>
          <w:b/>
          <w:bCs/>
        </w:rPr>
      </w:pPr>
      <w:r w:rsidRPr="00EC106A">
        <w:rPr>
          <w:rFonts w:ascii="Times New Roman" w:hAnsi="Times New Roman" w:cs="Times New Roman"/>
          <w:b/>
          <w:bCs/>
        </w:rPr>
        <w:t xml:space="preserve"> </w:t>
      </w:r>
    </w:p>
    <w:p w14:paraId="739F89B2" w14:textId="77777777" w:rsidR="004B271B" w:rsidRPr="004B271B" w:rsidRDefault="004B271B" w:rsidP="004B271B"/>
    <w:p w14:paraId="7F80896E" w14:textId="77777777" w:rsidR="004B271B" w:rsidRPr="004B271B" w:rsidRDefault="004B271B" w:rsidP="004B271B">
      <w:pPr>
        <w:jc w:val="center"/>
        <w:rPr>
          <w:rFonts w:ascii="Times New Roman" w:hAnsi="Times New Roman" w:cs="Times New Roman"/>
          <w:sz w:val="44"/>
          <w:szCs w:val="44"/>
        </w:rPr>
      </w:pPr>
      <w:r w:rsidRPr="004B271B">
        <w:rPr>
          <w:rFonts w:ascii="Times New Roman" w:hAnsi="Times New Roman" w:cs="Times New Roman"/>
          <w:sz w:val="44"/>
          <w:szCs w:val="44"/>
        </w:rPr>
        <w:t>Waste Management &amp; Remediation Division</w:t>
      </w:r>
    </w:p>
    <w:p w14:paraId="7080A99B" w14:textId="44A485B5" w:rsidR="008B7E3D" w:rsidRDefault="008B7E3D" w:rsidP="008B7E3D">
      <w:pPr>
        <w:jc w:val="center"/>
        <w:rPr>
          <w:rFonts w:ascii="Times New Roman" w:hAnsi="Times New Roman" w:cs="Times New Roman"/>
          <w:sz w:val="44"/>
          <w:szCs w:val="44"/>
        </w:rPr>
      </w:pPr>
      <w:r w:rsidRPr="000C66C4">
        <w:rPr>
          <w:rFonts w:ascii="Times New Roman" w:hAnsi="Times New Roman" w:cs="Times New Roman"/>
          <w:sz w:val="44"/>
          <w:szCs w:val="44"/>
        </w:rPr>
        <w:t>Brownfields and Federal Facilities Section</w:t>
      </w:r>
    </w:p>
    <w:p w14:paraId="2CBACC55" w14:textId="77777777" w:rsidR="00B0263B" w:rsidRDefault="00B0263B" w:rsidP="00B0263B"/>
    <w:p w14:paraId="7B150D7A" w14:textId="77777777" w:rsidR="00B0263B" w:rsidRDefault="00B0263B" w:rsidP="00B0263B"/>
    <w:p w14:paraId="7C0BFAE3" w14:textId="77777777" w:rsidR="00B0263B" w:rsidRDefault="00B0263B" w:rsidP="00B0263B"/>
    <w:p w14:paraId="3944EA70" w14:textId="77777777" w:rsidR="00B0263B" w:rsidRDefault="00B0263B" w:rsidP="00BC24E1">
      <w:pPr>
        <w:jc w:val="center"/>
      </w:pPr>
    </w:p>
    <w:p w14:paraId="4541920B" w14:textId="77777777" w:rsidR="00BC24E1" w:rsidRDefault="00BC24E1" w:rsidP="00BC24E1">
      <w:pPr>
        <w:jc w:val="center"/>
      </w:pPr>
    </w:p>
    <w:p w14:paraId="4C011A64" w14:textId="77777777" w:rsidR="00BC24E1" w:rsidRDefault="00BC24E1" w:rsidP="00BC24E1">
      <w:pPr>
        <w:jc w:val="center"/>
      </w:pPr>
    </w:p>
    <w:p w14:paraId="78907076" w14:textId="77777777" w:rsidR="00BC24E1" w:rsidRDefault="00BC24E1" w:rsidP="00BC24E1">
      <w:pPr>
        <w:jc w:val="center"/>
      </w:pPr>
    </w:p>
    <w:p w14:paraId="60EAB467" w14:textId="77777777" w:rsidR="00BC24E1" w:rsidRDefault="00BC24E1" w:rsidP="00BC24E1">
      <w:pPr>
        <w:jc w:val="center"/>
      </w:pPr>
    </w:p>
    <w:p w14:paraId="552A4E72" w14:textId="77777777" w:rsidR="00BC24E1" w:rsidRDefault="00BC24E1" w:rsidP="00BC24E1">
      <w:pPr>
        <w:jc w:val="center"/>
      </w:pPr>
    </w:p>
    <w:p w14:paraId="339F3061" w14:textId="77777777" w:rsidR="00BC24E1" w:rsidRDefault="00BC24E1" w:rsidP="00BC24E1">
      <w:pPr>
        <w:jc w:val="center"/>
      </w:pPr>
    </w:p>
    <w:p w14:paraId="0C617A3B" w14:textId="7CE0465D" w:rsidR="00BC24E1" w:rsidRPr="00BC24E1" w:rsidRDefault="00F03017" w:rsidP="00BC24E1">
      <w:pPr>
        <w:tabs>
          <w:tab w:val="center" w:pos="4680"/>
        </w:tabs>
        <w:jc w:val="center"/>
        <w:rPr>
          <w:rFonts w:ascii="Times New Roman" w:hAnsi="Times New Roman" w:cs="Times New Roman"/>
          <w:b/>
          <w:color w:val="000000"/>
        </w:rPr>
      </w:pPr>
      <w:r>
        <w:rPr>
          <w:rFonts w:ascii="Times New Roman" w:hAnsi="Times New Roman" w:cs="Times New Roman"/>
          <w:b/>
          <w:color w:val="000000"/>
        </w:rPr>
        <w:t>Final</w:t>
      </w:r>
    </w:p>
    <w:p w14:paraId="129AD38C" w14:textId="16B96034" w:rsidR="00BC24E1" w:rsidRPr="00BC24E1" w:rsidRDefault="00F03017" w:rsidP="00BC24E1">
      <w:pPr>
        <w:tabs>
          <w:tab w:val="center" w:pos="4680"/>
        </w:tabs>
        <w:jc w:val="center"/>
        <w:rPr>
          <w:rFonts w:ascii="Times New Roman" w:hAnsi="Times New Roman" w:cs="Times New Roman"/>
          <w:b/>
          <w:bCs/>
          <w:szCs w:val="24"/>
        </w:rPr>
      </w:pPr>
      <w:r>
        <w:rPr>
          <w:rFonts w:ascii="Times New Roman" w:hAnsi="Times New Roman" w:cs="Times New Roman"/>
          <w:b/>
          <w:bCs/>
          <w:szCs w:val="24"/>
        </w:rPr>
        <w:t>November</w:t>
      </w:r>
      <w:r w:rsidR="00BC24E1" w:rsidRPr="00BC24E1">
        <w:rPr>
          <w:rFonts w:ascii="Times New Roman" w:hAnsi="Times New Roman" w:cs="Times New Roman"/>
          <w:b/>
          <w:bCs/>
          <w:szCs w:val="24"/>
        </w:rPr>
        <w:t xml:space="preserve"> 2025</w:t>
      </w:r>
    </w:p>
    <w:sdt>
      <w:sdtPr>
        <w:rPr>
          <w:rFonts w:asciiTheme="minorHAnsi" w:eastAsiaTheme="minorEastAsia" w:hAnsiTheme="minorHAnsi" w:cstheme="minorBidi"/>
          <w:color w:val="auto"/>
          <w:sz w:val="22"/>
          <w:szCs w:val="22"/>
        </w:rPr>
        <w:id w:val="1828324729"/>
        <w:docPartObj>
          <w:docPartGallery w:val="Table of Contents"/>
          <w:docPartUnique/>
        </w:docPartObj>
      </w:sdtPr>
      <w:sdtEndPr>
        <w:rPr>
          <w:b/>
          <w:bCs/>
          <w:noProof/>
        </w:rPr>
      </w:sdtEndPr>
      <w:sdtContent>
        <w:p w14:paraId="08085739" w14:textId="5EC49462" w:rsidR="00661E2B" w:rsidRDefault="00661E2B">
          <w:pPr>
            <w:pStyle w:val="TOCHeading"/>
          </w:pPr>
          <w:r>
            <w:t>Contents</w:t>
          </w:r>
        </w:p>
        <w:p w14:paraId="6048C006" w14:textId="284BEB59" w:rsidR="00EF383A" w:rsidRDefault="00661E2B">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1003033" w:history="1">
            <w:r w:rsidR="00EF383A" w:rsidRPr="00864FCD">
              <w:rPr>
                <w:rStyle w:val="Hyperlink"/>
                <w:b/>
                <w:bCs/>
                <w:noProof/>
              </w:rPr>
              <w:t>1.0 Introduction</w:t>
            </w:r>
            <w:r w:rsidR="00EF383A">
              <w:rPr>
                <w:noProof/>
                <w:webHidden/>
              </w:rPr>
              <w:tab/>
            </w:r>
            <w:r w:rsidR="00EF383A">
              <w:rPr>
                <w:noProof/>
                <w:webHidden/>
              </w:rPr>
              <w:fldChar w:fldCharType="begin"/>
            </w:r>
            <w:r w:rsidR="00EF383A">
              <w:rPr>
                <w:noProof/>
                <w:webHidden/>
              </w:rPr>
              <w:instrText xml:space="preserve"> PAGEREF _Toc211003033 \h </w:instrText>
            </w:r>
            <w:r w:rsidR="00EF383A">
              <w:rPr>
                <w:noProof/>
                <w:webHidden/>
              </w:rPr>
            </w:r>
            <w:r w:rsidR="00EF383A">
              <w:rPr>
                <w:noProof/>
                <w:webHidden/>
              </w:rPr>
              <w:fldChar w:fldCharType="separate"/>
            </w:r>
            <w:r w:rsidR="00EF383A">
              <w:rPr>
                <w:noProof/>
                <w:webHidden/>
              </w:rPr>
              <w:t>3</w:t>
            </w:r>
            <w:r w:rsidR="00EF383A">
              <w:rPr>
                <w:noProof/>
                <w:webHidden/>
              </w:rPr>
              <w:fldChar w:fldCharType="end"/>
            </w:r>
          </w:hyperlink>
        </w:p>
        <w:p w14:paraId="61FBA302" w14:textId="43B0C8A0" w:rsidR="00EF383A" w:rsidRDefault="00933269">
          <w:pPr>
            <w:pStyle w:val="TOC1"/>
            <w:tabs>
              <w:tab w:val="right" w:leader="dot" w:pos="9350"/>
            </w:tabs>
            <w:rPr>
              <w:rFonts w:eastAsiaTheme="minorEastAsia"/>
              <w:noProof/>
              <w:kern w:val="2"/>
              <w:sz w:val="24"/>
              <w:szCs w:val="24"/>
              <w14:ligatures w14:val="standardContextual"/>
            </w:rPr>
          </w:pPr>
          <w:hyperlink w:anchor="_Toc211003034" w:history="1">
            <w:r w:rsidR="00EF383A" w:rsidRPr="00864FCD">
              <w:rPr>
                <w:rStyle w:val="Hyperlink"/>
                <w:b/>
                <w:bCs/>
                <w:noProof/>
              </w:rPr>
              <w:t>2.0 Montana Brownfields Site Redevelopment Fund – Site Assessment Assistance</w:t>
            </w:r>
            <w:r w:rsidR="00EF383A">
              <w:rPr>
                <w:noProof/>
                <w:webHidden/>
              </w:rPr>
              <w:tab/>
            </w:r>
            <w:r w:rsidR="00EF383A">
              <w:rPr>
                <w:noProof/>
                <w:webHidden/>
              </w:rPr>
              <w:fldChar w:fldCharType="begin"/>
            </w:r>
            <w:r w:rsidR="00EF383A">
              <w:rPr>
                <w:noProof/>
                <w:webHidden/>
              </w:rPr>
              <w:instrText xml:space="preserve"> PAGEREF _Toc211003034 \h </w:instrText>
            </w:r>
            <w:r w:rsidR="00EF383A">
              <w:rPr>
                <w:noProof/>
                <w:webHidden/>
              </w:rPr>
            </w:r>
            <w:r w:rsidR="00EF383A">
              <w:rPr>
                <w:noProof/>
                <w:webHidden/>
              </w:rPr>
              <w:fldChar w:fldCharType="separate"/>
            </w:r>
            <w:r w:rsidR="00EF383A">
              <w:rPr>
                <w:noProof/>
                <w:webHidden/>
              </w:rPr>
              <w:t>3</w:t>
            </w:r>
            <w:r w:rsidR="00EF383A">
              <w:rPr>
                <w:noProof/>
                <w:webHidden/>
              </w:rPr>
              <w:fldChar w:fldCharType="end"/>
            </w:r>
          </w:hyperlink>
        </w:p>
        <w:p w14:paraId="0DA97519" w14:textId="250BEEEE" w:rsidR="00EF383A" w:rsidRDefault="00933269">
          <w:pPr>
            <w:pStyle w:val="TOC1"/>
            <w:tabs>
              <w:tab w:val="right" w:leader="dot" w:pos="9350"/>
            </w:tabs>
            <w:rPr>
              <w:rFonts w:eastAsiaTheme="minorEastAsia"/>
              <w:noProof/>
              <w:kern w:val="2"/>
              <w:sz w:val="24"/>
              <w:szCs w:val="24"/>
              <w14:ligatures w14:val="standardContextual"/>
            </w:rPr>
          </w:pPr>
          <w:hyperlink w:anchor="_Toc211003035" w:history="1">
            <w:r w:rsidR="00EF383A" w:rsidRPr="00864FCD">
              <w:rPr>
                <w:rStyle w:val="Hyperlink"/>
                <w:b/>
                <w:bCs/>
                <w:noProof/>
              </w:rPr>
              <w:t>3.0 Montana Brownfields Site Redevelopment Fund – Cleanup Assistance</w:t>
            </w:r>
            <w:r w:rsidR="00EF383A">
              <w:rPr>
                <w:noProof/>
                <w:webHidden/>
              </w:rPr>
              <w:tab/>
            </w:r>
            <w:r w:rsidR="00EF383A">
              <w:rPr>
                <w:noProof/>
                <w:webHidden/>
              </w:rPr>
              <w:fldChar w:fldCharType="begin"/>
            </w:r>
            <w:r w:rsidR="00EF383A">
              <w:rPr>
                <w:noProof/>
                <w:webHidden/>
              </w:rPr>
              <w:instrText xml:space="preserve"> PAGEREF _Toc211003035 \h </w:instrText>
            </w:r>
            <w:r w:rsidR="00EF383A">
              <w:rPr>
                <w:noProof/>
                <w:webHidden/>
              </w:rPr>
            </w:r>
            <w:r w:rsidR="00EF383A">
              <w:rPr>
                <w:noProof/>
                <w:webHidden/>
              </w:rPr>
              <w:fldChar w:fldCharType="separate"/>
            </w:r>
            <w:r w:rsidR="00EF383A">
              <w:rPr>
                <w:noProof/>
                <w:webHidden/>
              </w:rPr>
              <w:t>6</w:t>
            </w:r>
            <w:r w:rsidR="00EF383A">
              <w:rPr>
                <w:noProof/>
                <w:webHidden/>
              </w:rPr>
              <w:fldChar w:fldCharType="end"/>
            </w:r>
          </w:hyperlink>
        </w:p>
        <w:p w14:paraId="38FDECBD" w14:textId="0647C157" w:rsidR="00EF383A" w:rsidRDefault="00933269">
          <w:pPr>
            <w:pStyle w:val="TOC1"/>
            <w:tabs>
              <w:tab w:val="right" w:leader="dot" w:pos="9350"/>
            </w:tabs>
            <w:rPr>
              <w:rFonts w:eastAsiaTheme="minorEastAsia"/>
              <w:noProof/>
              <w:kern w:val="2"/>
              <w:sz w:val="24"/>
              <w:szCs w:val="24"/>
              <w14:ligatures w14:val="standardContextual"/>
            </w:rPr>
          </w:pPr>
          <w:hyperlink w:anchor="_Toc211003036" w:history="1">
            <w:r w:rsidR="00EF383A" w:rsidRPr="00864FCD">
              <w:rPr>
                <w:rStyle w:val="Hyperlink"/>
                <w:b/>
                <w:bCs/>
                <w:noProof/>
              </w:rPr>
              <w:t>4.0 Application Process:</w:t>
            </w:r>
            <w:r w:rsidR="00EF383A">
              <w:rPr>
                <w:noProof/>
                <w:webHidden/>
              </w:rPr>
              <w:tab/>
            </w:r>
            <w:r w:rsidR="00EF383A">
              <w:rPr>
                <w:noProof/>
                <w:webHidden/>
              </w:rPr>
              <w:fldChar w:fldCharType="begin"/>
            </w:r>
            <w:r w:rsidR="00EF383A">
              <w:rPr>
                <w:noProof/>
                <w:webHidden/>
              </w:rPr>
              <w:instrText xml:space="preserve"> PAGEREF _Toc211003036 \h </w:instrText>
            </w:r>
            <w:r w:rsidR="00EF383A">
              <w:rPr>
                <w:noProof/>
                <w:webHidden/>
              </w:rPr>
            </w:r>
            <w:r w:rsidR="00EF383A">
              <w:rPr>
                <w:noProof/>
                <w:webHidden/>
              </w:rPr>
              <w:fldChar w:fldCharType="separate"/>
            </w:r>
            <w:r w:rsidR="00EF383A">
              <w:rPr>
                <w:noProof/>
                <w:webHidden/>
              </w:rPr>
              <w:t>8</w:t>
            </w:r>
            <w:r w:rsidR="00EF383A">
              <w:rPr>
                <w:noProof/>
                <w:webHidden/>
              </w:rPr>
              <w:fldChar w:fldCharType="end"/>
            </w:r>
          </w:hyperlink>
        </w:p>
        <w:p w14:paraId="006FF265" w14:textId="3EA4AC66" w:rsidR="00EF383A" w:rsidRDefault="00933269">
          <w:pPr>
            <w:pStyle w:val="TOC1"/>
            <w:tabs>
              <w:tab w:val="right" w:leader="dot" w:pos="9350"/>
            </w:tabs>
            <w:rPr>
              <w:rFonts w:eastAsiaTheme="minorEastAsia"/>
              <w:noProof/>
              <w:kern w:val="2"/>
              <w:sz w:val="24"/>
              <w:szCs w:val="24"/>
              <w14:ligatures w14:val="standardContextual"/>
            </w:rPr>
          </w:pPr>
          <w:hyperlink w:anchor="_Toc211003037" w:history="1">
            <w:r w:rsidR="00EF383A" w:rsidRPr="00864FCD">
              <w:rPr>
                <w:rStyle w:val="Hyperlink"/>
                <w:b/>
                <w:bCs/>
                <w:noProof/>
              </w:rPr>
              <w:t>5.0 Prioritization for State Assistance</w:t>
            </w:r>
            <w:r w:rsidR="00EF383A">
              <w:rPr>
                <w:noProof/>
                <w:webHidden/>
              </w:rPr>
              <w:tab/>
            </w:r>
            <w:r w:rsidR="00EF383A">
              <w:rPr>
                <w:noProof/>
                <w:webHidden/>
              </w:rPr>
              <w:fldChar w:fldCharType="begin"/>
            </w:r>
            <w:r w:rsidR="00EF383A">
              <w:rPr>
                <w:noProof/>
                <w:webHidden/>
              </w:rPr>
              <w:instrText xml:space="preserve"> PAGEREF _Toc211003037 \h </w:instrText>
            </w:r>
            <w:r w:rsidR="00EF383A">
              <w:rPr>
                <w:noProof/>
                <w:webHidden/>
              </w:rPr>
            </w:r>
            <w:r w:rsidR="00EF383A">
              <w:rPr>
                <w:noProof/>
                <w:webHidden/>
              </w:rPr>
              <w:fldChar w:fldCharType="separate"/>
            </w:r>
            <w:r w:rsidR="00EF383A">
              <w:rPr>
                <w:noProof/>
                <w:webHidden/>
              </w:rPr>
              <w:t>8</w:t>
            </w:r>
            <w:r w:rsidR="00EF383A">
              <w:rPr>
                <w:noProof/>
                <w:webHidden/>
              </w:rPr>
              <w:fldChar w:fldCharType="end"/>
            </w:r>
          </w:hyperlink>
        </w:p>
        <w:p w14:paraId="61B2B719" w14:textId="2D756ECA" w:rsidR="00EF383A" w:rsidRDefault="00933269">
          <w:pPr>
            <w:pStyle w:val="TOC1"/>
            <w:tabs>
              <w:tab w:val="right" w:leader="dot" w:pos="9350"/>
            </w:tabs>
            <w:rPr>
              <w:rFonts w:eastAsiaTheme="minorEastAsia"/>
              <w:noProof/>
              <w:kern w:val="2"/>
              <w:sz w:val="24"/>
              <w:szCs w:val="24"/>
              <w14:ligatures w14:val="standardContextual"/>
            </w:rPr>
          </w:pPr>
          <w:hyperlink w:anchor="_Toc211003038" w:history="1">
            <w:r w:rsidR="00EF383A" w:rsidRPr="00864FCD">
              <w:rPr>
                <w:rStyle w:val="Hyperlink"/>
                <w:b/>
                <w:bCs/>
                <w:noProof/>
              </w:rPr>
              <w:t>6.0 Maximizing Assistance</w:t>
            </w:r>
            <w:r w:rsidR="00EF383A">
              <w:rPr>
                <w:noProof/>
                <w:webHidden/>
              </w:rPr>
              <w:tab/>
            </w:r>
            <w:r w:rsidR="00EF383A">
              <w:rPr>
                <w:noProof/>
                <w:webHidden/>
              </w:rPr>
              <w:fldChar w:fldCharType="begin"/>
            </w:r>
            <w:r w:rsidR="00EF383A">
              <w:rPr>
                <w:noProof/>
                <w:webHidden/>
              </w:rPr>
              <w:instrText xml:space="preserve"> PAGEREF _Toc211003038 \h </w:instrText>
            </w:r>
            <w:r w:rsidR="00EF383A">
              <w:rPr>
                <w:noProof/>
                <w:webHidden/>
              </w:rPr>
            </w:r>
            <w:r w:rsidR="00EF383A">
              <w:rPr>
                <w:noProof/>
                <w:webHidden/>
              </w:rPr>
              <w:fldChar w:fldCharType="separate"/>
            </w:r>
            <w:r w:rsidR="00EF383A">
              <w:rPr>
                <w:noProof/>
                <w:webHidden/>
              </w:rPr>
              <w:t>9</w:t>
            </w:r>
            <w:r w:rsidR="00EF383A">
              <w:rPr>
                <w:noProof/>
                <w:webHidden/>
              </w:rPr>
              <w:fldChar w:fldCharType="end"/>
            </w:r>
          </w:hyperlink>
        </w:p>
        <w:p w14:paraId="4306C853" w14:textId="202732F2" w:rsidR="00661E2B" w:rsidRDefault="00661E2B">
          <w:pPr>
            <w:rPr>
              <w:b/>
              <w:bCs/>
              <w:noProof/>
            </w:rPr>
          </w:pPr>
          <w:r>
            <w:rPr>
              <w:b/>
              <w:bCs/>
              <w:noProof/>
            </w:rPr>
            <w:fldChar w:fldCharType="end"/>
          </w:r>
        </w:p>
      </w:sdtContent>
    </w:sdt>
    <w:p w14:paraId="516A3072" w14:textId="77777777" w:rsidR="005D3177" w:rsidRDefault="005D3177">
      <w:pPr>
        <w:rPr>
          <w:b/>
          <w:bCs/>
          <w:noProof/>
        </w:rPr>
      </w:pPr>
    </w:p>
    <w:p w14:paraId="0909493C" w14:textId="77777777" w:rsidR="005D3177" w:rsidRDefault="005D3177">
      <w:pPr>
        <w:rPr>
          <w:b/>
          <w:bCs/>
          <w:noProof/>
        </w:rPr>
      </w:pPr>
    </w:p>
    <w:p w14:paraId="571BB067" w14:textId="77777777" w:rsidR="005D3177" w:rsidRDefault="005D3177">
      <w:pPr>
        <w:rPr>
          <w:b/>
          <w:bCs/>
          <w:noProof/>
        </w:rPr>
      </w:pPr>
    </w:p>
    <w:p w14:paraId="6CA316F4" w14:textId="77777777" w:rsidR="005D3177" w:rsidRDefault="005D3177">
      <w:pPr>
        <w:rPr>
          <w:b/>
          <w:bCs/>
          <w:noProof/>
        </w:rPr>
      </w:pPr>
    </w:p>
    <w:p w14:paraId="0C735063" w14:textId="77777777" w:rsidR="005D3177" w:rsidRDefault="005D3177">
      <w:pPr>
        <w:rPr>
          <w:b/>
          <w:bCs/>
          <w:noProof/>
        </w:rPr>
      </w:pPr>
    </w:p>
    <w:p w14:paraId="29470378" w14:textId="77777777" w:rsidR="005D3177" w:rsidRDefault="005D3177">
      <w:pPr>
        <w:rPr>
          <w:b/>
          <w:bCs/>
          <w:noProof/>
        </w:rPr>
      </w:pPr>
    </w:p>
    <w:p w14:paraId="72D156D1" w14:textId="77777777" w:rsidR="005D3177" w:rsidRDefault="005D3177">
      <w:pPr>
        <w:rPr>
          <w:b/>
          <w:bCs/>
          <w:noProof/>
        </w:rPr>
      </w:pPr>
    </w:p>
    <w:p w14:paraId="3E931636" w14:textId="77777777" w:rsidR="005D3177" w:rsidRDefault="005D3177">
      <w:pPr>
        <w:rPr>
          <w:b/>
          <w:bCs/>
          <w:noProof/>
        </w:rPr>
      </w:pPr>
    </w:p>
    <w:p w14:paraId="311B50E6" w14:textId="77777777" w:rsidR="005D3177" w:rsidRDefault="005D3177">
      <w:pPr>
        <w:rPr>
          <w:b/>
          <w:bCs/>
          <w:noProof/>
        </w:rPr>
      </w:pPr>
    </w:p>
    <w:p w14:paraId="69917D95" w14:textId="77777777" w:rsidR="005D3177" w:rsidRDefault="005D3177">
      <w:pPr>
        <w:rPr>
          <w:b/>
          <w:bCs/>
          <w:noProof/>
        </w:rPr>
      </w:pPr>
    </w:p>
    <w:p w14:paraId="7D9AC953" w14:textId="77777777" w:rsidR="005D3177" w:rsidRDefault="005D3177">
      <w:pPr>
        <w:rPr>
          <w:b/>
          <w:bCs/>
          <w:noProof/>
        </w:rPr>
      </w:pPr>
    </w:p>
    <w:p w14:paraId="5FA3B9EE" w14:textId="77777777" w:rsidR="005D3177" w:rsidRDefault="005D3177">
      <w:pPr>
        <w:rPr>
          <w:b/>
          <w:bCs/>
          <w:noProof/>
        </w:rPr>
      </w:pPr>
    </w:p>
    <w:p w14:paraId="08C528DD" w14:textId="77777777" w:rsidR="005D3177" w:rsidRDefault="005D3177">
      <w:pPr>
        <w:rPr>
          <w:b/>
          <w:bCs/>
          <w:noProof/>
        </w:rPr>
      </w:pPr>
    </w:p>
    <w:p w14:paraId="31F4D253" w14:textId="77777777" w:rsidR="005D3177" w:rsidRDefault="005D3177">
      <w:pPr>
        <w:rPr>
          <w:b/>
          <w:bCs/>
          <w:noProof/>
        </w:rPr>
      </w:pPr>
    </w:p>
    <w:p w14:paraId="633F29B1" w14:textId="77777777" w:rsidR="005D3177" w:rsidRDefault="005D3177">
      <w:pPr>
        <w:rPr>
          <w:b/>
          <w:bCs/>
          <w:noProof/>
        </w:rPr>
      </w:pPr>
    </w:p>
    <w:p w14:paraId="64AD44A3" w14:textId="77777777" w:rsidR="00092041" w:rsidRDefault="00092041">
      <w:pPr>
        <w:rPr>
          <w:b/>
          <w:bCs/>
          <w:noProof/>
        </w:rPr>
      </w:pPr>
    </w:p>
    <w:p w14:paraId="63263E65" w14:textId="77777777" w:rsidR="005D3177" w:rsidRDefault="005D3177">
      <w:pPr>
        <w:rPr>
          <w:b/>
          <w:bCs/>
          <w:noProof/>
        </w:rPr>
      </w:pPr>
    </w:p>
    <w:p w14:paraId="7AA753E9" w14:textId="77777777" w:rsidR="005D3177" w:rsidRDefault="005D3177">
      <w:pPr>
        <w:rPr>
          <w:b/>
          <w:bCs/>
          <w:noProof/>
        </w:rPr>
      </w:pPr>
    </w:p>
    <w:p w14:paraId="2923B4C1" w14:textId="77777777" w:rsidR="005D3177" w:rsidRDefault="005D3177">
      <w:pPr>
        <w:rPr>
          <w:b/>
          <w:bCs/>
          <w:noProof/>
        </w:rPr>
      </w:pPr>
    </w:p>
    <w:p w14:paraId="702F8493" w14:textId="77777777" w:rsidR="005D3177" w:rsidRDefault="005D3177">
      <w:pPr>
        <w:rPr>
          <w:b/>
          <w:bCs/>
          <w:noProof/>
        </w:rPr>
      </w:pPr>
    </w:p>
    <w:p w14:paraId="3E278256" w14:textId="3ECF513F" w:rsidR="00F01719" w:rsidRPr="00071E6B" w:rsidRDefault="006C2F5C" w:rsidP="00071E6B">
      <w:pPr>
        <w:pStyle w:val="Heading1"/>
        <w:rPr>
          <w:b/>
          <w:bCs/>
          <w:color w:val="auto"/>
          <w:sz w:val="26"/>
          <w:szCs w:val="26"/>
        </w:rPr>
      </w:pPr>
      <w:bookmarkStart w:id="0" w:name="_Toc211003033"/>
      <w:r w:rsidRPr="00071E6B">
        <w:rPr>
          <w:b/>
          <w:bCs/>
          <w:color w:val="auto"/>
          <w:sz w:val="26"/>
          <w:szCs w:val="26"/>
        </w:rPr>
        <w:lastRenderedPageBreak/>
        <w:t>1.0 Introduction</w:t>
      </w:r>
      <w:bookmarkEnd w:id="0"/>
    </w:p>
    <w:p w14:paraId="3AFDF7BC" w14:textId="12831015" w:rsidR="00F01719" w:rsidRDefault="00F01719">
      <w:r>
        <w:t xml:space="preserve">The goal of the </w:t>
      </w:r>
      <w:r w:rsidR="00B33DCE">
        <w:t>State Brownfields</w:t>
      </w:r>
      <w:r>
        <w:t xml:space="preserve"> program is to work with</w:t>
      </w:r>
      <w:r w:rsidR="684BF1B7">
        <w:t xml:space="preserve">, </w:t>
      </w:r>
      <w:r>
        <w:t xml:space="preserve">support </w:t>
      </w:r>
      <w:r w:rsidR="003C7C4A">
        <w:t xml:space="preserve">and strengthen </w:t>
      </w:r>
      <w:r>
        <w:t xml:space="preserve">communities across </w:t>
      </w:r>
      <w:r w:rsidR="00C37147">
        <w:t>M</w:t>
      </w:r>
      <w:r>
        <w:t>ontana</w:t>
      </w:r>
      <w:r w:rsidR="00755BFC">
        <w:t>.</w:t>
      </w:r>
      <w:r>
        <w:t xml:space="preserve"> </w:t>
      </w:r>
      <w:r w:rsidR="00755BFC">
        <w:t>E</w:t>
      </w:r>
      <w:r>
        <w:t xml:space="preserve">nsuring that blighted and underused properties are given an opportunity to overcome the </w:t>
      </w:r>
      <w:r w:rsidR="009E6C50">
        <w:t>perception</w:t>
      </w:r>
      <w:r w:rsidR="00F96686">
        <w:t>,</w:t>
      </w:r>
      <w:r>
        <w:t xml:space="preserve"> or presence</w:t>
      </w:r>
      <w:r w:rsidR="00F96686">
        <w:t>,</w:t>
      </w:r>
      <w:r>
        <w:t xml:space="preserve"> of environmental contamination and be returned to the communities as an economic resource. </w:t>
      </w:r>
    </w:p>
    <w:p w14:paraId="0E89B0AF" w14:textId="12C8DB23" w:rsidR="00F01719" w:rsidRDefault="00F01719">
      <w:r>
        <w:t xml:space="preserve">Federal </w:t>
      </w:r>
      <w:r w:rsidR="00C37147">
        <w:t>Brownfields</w:t>
      </w:r>
      <w:r>
        <w:t xml:space="preserve"> </w:t>
      </w:r>
      <w:r w:rsidR="007D2B33">
        <w:t>grants</w:t>
      </w:r>
      <w:r>
        <w:t xml:space="preserve"> are </w:t>
      </w:r>
      <w:r w:rsidR="007D2B33">
        <w:t>awarded</w:t>
      </w:r>
      <w:r>
        <w:t xml:space="preserve"> to eligible entities </w:t>
      </w:r>
      <w:r w:rsidR="007D2B33">
        <w:t xml:space="preserve">throughout Montana </w:t>
      </w:r>
      <w:r>
        <w:t xml:space="preserve">allowing communities to take the lead in choosing the </w:t>
      </w:r>
      <w:r w:rsidR="0029515C">
        <w:t>B</w:t>
      </w:r>
      <w:r>
        <w:t xml:space="preserve">rownfield sites most important to them. </w:t>
      </w:r>
      <w:r w:rsidR="00C37147">
        <w:t>For those communities not being served by Federal Brownfields funds</w:t>
      </w:r>
      <w:r w:rsidR="00784F48">
        <w:t>,</w:t>
      </w:r>
      <w:r w:rsidR="00C37147">
        <w:t xml:space="preserve"> the state can provide </w:t>
      </w:r>
      <w:r w:rsidR="65B78A38">
        <w:t>Brownfields</w:t>
      </w:r>
      <w:r w:rsidR="00C37147">
        <w:t xml:space="preserve"> financial support and Brownfields training to assist communities in understanding </w:t>
      </w:r>
      <w:r w:rsidR="449C8018">
        <w:t>Brownfields</w:t>
      </w:r>
      <w:r w:rsidR="00C37147">
        <w:t>, developing their own site inventories</w:t>
      </w:r>
      <w:r w:rsidR="00122ADB">
        <w:t>,</w:t>
      </w:r>
      <w:r w:rsidR="00C37147">
        <w:t xml:space="preserve"> and </w:t>
      </w:r>
      <w:r w:rsidR="00122ADB">
        <w:t>applying for</w:t>
      </w:r>
      <w:r w:rsidR="00C37147">
        <w:t xml:space="preserve"> </w:t>
      </w:r>
      <w:r w:rsidR="00477B57">
        <w:t xml:space="preserve">local, state, and federal </w:t>
      </w:r>
      <w:r w:rsidR="0DDBFD8D">
        <w:t>Brownfields</w:t>
      </w:r>
      <w:r w:rsidR="00477B57">
        <w:t xml:space="preserve"> assistance</w:t>
      </w:r>
      <w:r w:rsidR="009965B2">
        <w:t>/</w:t>
      </w:r>
      <w:r w:rsidR="00C37147">
        <w:t>funding.</w:t>
      </w:r>
    </w:p>
    <w:p w14:paraId="4800B768" w14:textId="74B8FA13" w:rsidR="00F01719" w:rsidRDefault="00B15D17">
      <w:r>
        <w:t>The Montana Brownfields Revitalization Act (MC</w:t>
      </w:r>
      <w:r w:rsidR="67D36051">
        <w:t>A 75.11.4</w:t>
      </w:r>
      <w:r>
        <w:t>) establishes the Brownfields Site Redevelopment Fund which provides</w:t>
      </w:r>
      <w:r w:rsidR="00491C78">
        <w:t xml:space="preserve"> Montana’s</w:t>
      </w:r>
      <w:r>
        <w:t xml:space="preserve"> </w:t>
      </w:r>
      <w:r w:rsidR="00491C78">
        <w:t>Department of Environmental Quality (</w:t>
      </w:r>
      <w:r>
        <w:t>DEQ</w:t>
      </w:r>
      <w:r w:rsidR="00491C78">
        <w:t>)</w:t>
      </w:r>
      <w:r>
        <w:t xml:space="preserve"> Brownfields Program with $200,000 per year</w:t>
      </w:r>
      <w:r w:rsidR="765B3B08">
        <w:t xml:space="preserve"> for two years (Fiscal year 2026 and 2027</w:t>
      </w:r>
      <w:r w:rsidR="788B8B2A">
        <w:t>)</w:t>
      </w:r>
      <w:r>
        <w:t xml:space="preserve"> to</w:t>
      </w:r>
      <w:r w:rsidR="00F01719">
        <w:t xml:space="preserve"> </w:t>
      </w:r>
      <w:r w:rsidR="002216EF">
        <w:t xml:space="preserve">assist communities in </w:t>
      </w:r>
      <w:r w:rsidR="00F01719">
        <w:t>cover</w:t>
      </w:r>
      <w:r w:rsidR="002216EF">
        <w:t>ing</w:t>
      </w:r>
      <w:r w:rsidR="00F01719">
        <w:t xml:space="preserve"> costs for both </w:t>
      </w:r>
      <w:r w:rsidR="0047111B">
        <w:t>Environmental</w:t>
      </w:r>
      <w:r w:rsidR="00F01719">
        <w:t xml:space="preserve"> Site Assessment and Cleanup</w:t>
      </w:r>
      <w:r w:rsidR="00571E3E">
        <w:t xml:space="preserve"> of </w:t>
      </w:r>
      <w:r w:rsidR="734DB306">
        <w:t>Brownfields</w:t>
      </w:r>
      <w:r w:rsidR="00571E3E">
        <w:t xml:space="preserve"> </w:t>
      </w:r>
      <w:r w:rsidR="006114F7">
        <w:t>sites across Montana</w:t>
      </w:r>
      <w:r w:rsidR="00F01719">
        <w:t xml:space="preserve">. </w:t>
      </w:r>
      <w:r w:rsidR="002216EF">
        <w:t xml:space="preserve">This guidance outlines the </w:t>
      </w:r>
      <w:r w:rsidR="00413625">
        <w:t xml:space="preserve">eligibility requirements and processes the </w:t>
      </w:r>
      <w:r w:rsidR="00B16883">
        <w:t>DEQ Brownfields P</w:t>
      </w:r>
      <w:r w:rsidR="00413625">
        <w:t xml:space="preserve">rogram will follow in expending </w:t>
      </w:r>
      <w:r w:rsidR="00A66797">
        <w:t xml:space="preserve">these </w:t>
      </w:r>
      <w:r w:rsidR="00413625">
        <w:t>funds</w:t>
      </w:r>
      <w:r w:rsidR="00E13C17">
        <w:t>.</w:t>
      </w:r>
      <w:r w:rsidR="00F01719">
        <w:t xml:space="preserve"> </w:t>
      </w:r>
    </w:p>
    <w:p w14:paraId="2AFE6C99" w14:textId="35B76FF2" w:rsidR="1ECD4147" w:rsidRDefault="1ECD4147"/>
    <w:p w14:paraId="6C1A73FA" w14:textId="5D6E5CDC" w:rsidR="00F01719" w:rsidRPr="00500E55" w:rsidRDefault="00831F62" w:rsidP="00500E55">
      <w:pPr>
        <w:pStyle w:val="Heading1"/>
        <w:rPr>
          <w:b/>
          <w:bCs/>
          <w:color w:val="auto"/>
          <w:sz w:val="26"/>
          <w:szCs w:val="26"/>
        </w:rPr>
      </w:pPr>
      <w:bookmarkStart w:id="1" w:name="_Toc211003034"/>
      <w:r w:rsidRPr="40FA3D7D">
        <w:rPr>
          <w:b/>
          <w:bCs/>
          <w:color w:val="auto"/>
          <w:sz w:val="26"/>
          <w:szCs w:val="26"/>
        </w:rPr>
        <w:t>2.</w:t>
      </w:r>
      <w:r w:rsidR="00B15D17" w:rsidRPr="40FA3D7D">
        <w:rPr>
          <w:b/>
          <w:bCs/>
          <w:color w:val="auto"/>
          <w:sz w:val="26"/>
          <w:szCs w:val="26"/>
        </w:rPr>
        <w:t>0</w:t>
      </w:r>
      <w:r w:rsidRPr="40FA3D7D">
        <w:rPr>
          <w:b/>
          <w:bCs/>
          <w:color w:val="auto"/>
          <w:sz w:val="26"/>
          <w:szCs w:val="26"/>
        </w:rPr>
        <w:t xml:space="preserve"> </w:t>
      </w:r>
      <w:r w:rsidR="00832BBC" w:rsidRPr="40FA3D7D">
        <w:rPr>
          <w:b/>
          <w:bCs/>
          <w:color w:val="auto"/>
          <w:sz w:val="26"/>
          <w:szCs w:val="26"/>
        </w:rPr>
        <w:t xml:space="preserve">Montana Brownfields Site Redevelopment Fund </w:t>
      </w:r>
      <w:r w:rsidR="003C0569" w:rsidRPr="40FA3D7D">
        <w:rPr>
          <w:b/>
          <w:bCs/>
          <w:color w:val="auto"/>
          <w:sz w:val="26"/>
          <w:szCs w:val="26"/>
        </w:rPr>
        <w:t xml:space="preserve">– Site </w:t>
      </w:r>
      <w:r w:rsidR="00832BBC" w:rsidRPr="40FA3D7D">
        <w:rPr>
          <w:b/>
          <w:bCs/>
          <w:color w:val="auto"/>
          <w:sz w:val="26"/>
          <w:szCs w:val="26"/>
        </w:rPr>
        <w:t>Assessment Assistance</w:t>
      </w:r>
      <w:bookmarkEnd w:id="1"/>
      <w:r w:rsidR="00832BBC" w:rsidRPr="40FA3D7D">
        <w:rPr>
          <w:b/>
          <w:bCs/>
          <w:color w:val="auto"/>
          <w:sz w:val="26"/>
          <w:szCs w:val="26"/>
        </w:rPr>
        <w:t xml:space="preserve"> </w:t>
      </w:r>
    </w:p>
    <w:p w14:paraId="27798939" w14:textId="004054C6" w:rsidR="006B2CB0" w:rsidRPr="006B2CB0" w:rsidRDefault="006B2CB0">
      <w:pPr>
        <w:rPr>
          <w:i/>
          <w:iCs/>
          <w:sz w:val="24"/>
          <w:szCs w:val="24"/>
        </w:rPr>
      </w:pPr>
      <w:r w:rsidRPr="006B2CB0">
        <w:rPr>
          <w:i/>
          <w:iCs/>
          <w:sz w:val="24"/>
          <w:szCs w:val="24"/>
        </w:rPr>
        <w:t xml:space="preserve">Eligible </w:t>
      </w:r>
      <w:r w:rsidR="00612B1E">
        <w:rPr>
          <w:i/>
          <w:iCs/>
          <w:sz w:val="24"/>
          <w:szCs w:val="24"/>
        </w:rPr>
        <w:t>E</w:t>
      </w:r>
      <w:r w:rsidRPr="006B2CB0">
        <w:rPr>
          <w:i/>
          <w:iCs/>
          <w:sz w:val="24"/>
          <w:szCs w:val="24"/>
        </w:rPr>
        <w:t>ntities</w:t>
      </w:r>
    </w:p>
    <w:p w14:paraId="1576D82A" w14:textId="2854CB77" w:rsidR="00F01719" w:rsidRDefault="00F01719" w:rsidP="00F01719">
      <w:pPr>
        <w:pStyle w:val="ListParagraph"/>
        <w:numPr>
          <w:ilvl w:val="0"/>
          <w:numId w:val="14"/>
        </w:numPr>
      </w:pPr>
      <w:r>
        <w:t>Tribal governments</w:t>
      </w:r>
    </w:p>
    <w:p w14:paraId="3834ED2B" w14:textId="40D299DC" w:rsidR="00F01719" w:rsidRDefault="00F01719" w:rsidP="00F01719">
      <w:pPr>
        <w:pStyle w:val="ListParagraph"/>
        <w:numPr>
          <w:ilvl w:val="0"/>
          <w:numId w:val="14"/>
        </w:numPr>
      </w:pPr>
      <w:r>
        <w:t xml:space="preserve">Non-profit organizations </w:t>
      </w:r>
    </w:p>
    <w:p w14:paraId="19BECB2C" w14:textId="1FBFA775" w:rsidR="002F285D" w:rsidRDefault="002F285D" w:rsidP="00F01719">
      <w:pPr>
        <w:pStyle w:val="ListParagraph"/>
        <w:numPr>
          <w:ilvl w:val="0"/>
          <w:numId w:val="14"/>
        </w:numPr>
      </w:pPr>
      <w:r>
        <w:t xml:space="preserve">Economic development organizations </w:t>
      </w:r>
    </w:p>
    <w:p w14:paraId="4CF6719A" w14:textId="28DAF53A" w:rsidR="003A46B5" w:rsidRDefault="003A46B5" w:rsidP="00F01719">
      <w:pPr>
        <w:pStyle w:val="ListParagraph"/>
        <w:numPr>
          <w:ilvl w:val="0"/>
          <w:numId w:val="14"/>
        </w:numPr>
      </w:pPr>
      <w:r>
        <w:t>State Agency</w:t>
      </w:r>
    </w:p>
    <w:p w14:paraId="12A55802" w14:textId="0925ECF0" w:rsidR="00F01719" w:rsidRDefault="00F01719" w:rsidP="00F01719">
      <w:pPr>
        <w:pStyle w:val="ListParagraph"/>
        <w:numPr>
          <w:ilvl w:val="0"/>
          <w:numId w:val="14"/>
        </w:numPr>
      </w:pPr>
      <w:r>
        <w:t>Local governments</w:t>
      </w:r>
    </w:p>
    <w:p w14:paraId="61CA2FAE" w14:textId="094088BA" w:rsidR="0047111B" w:rsidRDefault="001A5598" w:rsidP="001A5598">
      <w:r>
        <w:t>(</w:t>
      </w:r>
      <w:r w:rsidR="00B6629B">
        <w:t>Private</w:t>
      </w:r>
      <w:r w:rsidR="00B265AD">
        <w:t xml:space="preserve"> </w:t>
      </w:r>
      <w:r w:rsidR="00731B50">
        <w:t xml:space="preserve">property </w:t>
      </w:r>
      <w:r w:rsidR="00FB2360">
        <w:t xml:space="preserve">owners or </w:t>
      </w:r>
      <w:r w:rsidR="0047111B">
        <w:t xml:space="preserve">Prospective Purchasers – cannot apply for funds directly but one of the eligible entities listed above can apply on behalf of the </w:t>
      </w:r>
      <w:r w:rsidR="003055BF">
        <w:t xml:space="preserve">private owner or </w:t>
      </w:r>
      <w:r w:rsidR="0047111B">
        <w:t>prospective purchaser</w:t>
      </w:r>
      <w:r>
        <w:t xml:space="preserve">. </w:t>
      </w:r>
      <w:r w:rsidR="04CEB735">
        <w:t>This</w:t>
      </w:r>
      <w:r w:rsidR="00CE1A95">
        <w:t xml:space="preserve"> ensure</w:t>
      </w:r>
      <w:r w:rsidR="1460BCFA">
        <w:t>s</w:t>
      </w:r>
      <w:r w:rsidR="00B6629B">
        <w:t xml:space="preserve"> </w:t>
      </w:r>
      <w:r>
        <w:t>that the</w:t>
      </w:r>
      <w:r w:rsidR="00FC783B">
        <w:t xml:space="preserve"> requested</w:t>
      </w:r>
      <w:r>
        <w:t xml:space="preserve"> </w:t>
      </w:r>
      <w:r w:rsidR="00811873">
        <w:t>assessment assistance</w:t>
      </w:r>
      <w:r w:rsidR="00774372">
        <w:t xml:space="preserve"> </w:t>
      </w:r>
      <w:r>
        <w:t>benefits the community and has community support.)</w:t>
      </w:r>
    </w:p>
    <w:p w14:paraId="15A80AF8" w14:textId="1879EC8C" w:rsidR="006B2CB0" w:rsidRDefault="70A2F540" w:rsidP="1ECD4147">
      <w:r>
        <w:t xml:space="preserve">Eligible entities, private property owners, or </w:t>
      </w:r>
      <w:r w:rsidR="6A85ACC9">
        <w:t xml:space="preserve">prospective </w:t>
      </w:r>
      <w:r>
        <w:t>purchasers must not be a responsible party as defined in HB808 Section 3:</w:t>
      </w:r>
    </w:p>
    <w:p w14:paraId="7518EFA8" w14:textId="1BF0F84C" w:rsidR="006B2CB0" w:rsidRDefault="70A2F540" w:rsidP="1ECD4147">
      <w:pPr>
        <w:pStyle w:val="ListParagraph"/>
        <w:numPr>
          <w:ilvl w:val="0"/>
          <w:numId w:val="1"/>
        </w:numPr>
      </w:pPr>
      <w:r>
        <w:t>A person responsible for conducting the assessment, investigation, and cleanup at a brownfield site as determined through:</w:t>
      </w:r>
    </w:p>
    <w:p w14:paraId="56EE339C" w14:textId="65E7F111" w:rsidR="006B2CB0" w:rsidRDefault="70A2F540" w:rsidP="1ECD4147">
      <w:pPr>
        <w:pStyle w:val="ListParagraph"/>
        <w:numPr>
          <w:ilvl w:val="1"/>
          <w:numId w:val="1"/>
        </w:numPr>
      </w:pPr>
      <w:r>
        <w:t xml:space="preserve">A judgement rendered in a court of law or an administrative order; </w:t>
      </w:r>
    </w:p>
    <w:p w14:paraId="54D63E6B" w14:textId="137F2479" w:rsidR="006B2CB0" w:rsidRDefault="70A2F540" w:rsidP="1ECD4147">
      <w:pPr>
        <w:pStyle w:val="ListParagraph"/>
        <w:numPr>
          <w:ilvl w:val="1"/>
          <w:numId w:val="1"/>
        </w:numPr>
      </w:pPr>
      <w:r>
        <w:t xml:space="preserve">An enforcement action by federal authorities or the department; </w:t>
      </w:r>
    </w:p>
    <w:p w14:paraId="6474F1C9" w14:textId="7BEB06FA" w:rsidR="006B2CB0" w:rsidRDefault="70A2F540" w:rsidP="1ECD4147">
      <w:pPr>
        <w:pStyle w:val="ListParagraph"/>
        <w:numPr>
          <w:ilvl w:val="1"/>
          <w:numId w:val="1"/>
        </w:numPr>
      </w:pPr>
      <w:r>
        <w:t>A citizen suit, contribution action, or other 3</w:t>
      </w:r>
      <w:r w:rsidRPr="1ECD4147">
        <w:rPr>
          <w:vertAlign w:val="superscript"/>
        </w:rPr>
        <w:t>rd</w:t>
      </w:r>
      <w:r>
        <w:t xml:space="preserve"> party claim brought against the current owner of a brownfield site; or</w:t>
      </w:r>
    </w:p>
    <w:p w14:paraId="689D71BC" w14:textId="408A006B" w:rsidR="006B2CB0" w:rsidRDefault="70A2F540" w:rsidP="1ECD4147">
      <w:pPr>
        <w:pStyle w:val="ListParagraph"/>
        <w:numPr>
          <w:ilvl w:val="0"/>
          <w:numId w:val="14"/>
        </w:numPr>
      </w:pPr>
      <w:r>
        <w:t>A current owner or prospective purchaser of the site must not have:</w:t>
      </w:r>
    </w:p>
    <w:p w14:paraId="586B03E1" w14:textId="6111500E" w:rsidR="006B2CB0" w:rsidRDefault="70A2F540" w:rsidP="1ECD4147">
      <w:pPr>
        <w:pStyle w:val="ListParagraph"/>
        <w:numPr>
          <w:ilvl w:val="1"/>
          <w:numId w:val="14"/>
        </w:numPr>
      </w:pPr>
      <w:r>
        <w:lastRenderedPageBreak/>
        <w:t>Dispensed or disposed of petroleum, petroleum product, or hazardous substance</w:t>
      </w:r>
    </w:p>
    <w:p w14:paraId="0D8B2EFE" w14:textId="0EAF30E3" w:rsidR="006B2CB0" w:rsidRDefault="70A2F540" w:rsidP="1ECD4147">
      <w:pPr>
        <w:pStyle w:val="ListParagraph"/>
        <w:numPr>
          <w:ilvl w:val="1"/>
          <w:numId w:val="14"/>
        </w:numPr>
      </w:pPr>
      <w:r>
        <w:t>Exacerbated existing contamination at the site;</w:t>
      </w:r>
    </w:p>
    <w:p w14:paraId="13C21895" w14:textId="0D69841F" w:rsidR="006B2CB0" w:rsidRDefault="70A2F540" w:rsidP="1ECD4147">
      <w:pPr>
        <w:pStyle w:val="ListParagraph"/>
        <w:numPr>
          <w:ilvl w:val="1"/>
          <w:numId w:val="14"/>
        </w:numPr>
      </w:pPr>
      <w:r>
        <w:t>Owned the site when any dispensing or disposal of petroleum or hazardous substances took place</w:t>
      </w:r>
      <w:r w:rsidR="007A13E6">
        <w:tab/>
      </w:r>
    </w:p>
    <w:p w14:paraId="7B4B2C72" w14:textId="11F13B33" w:rsidR="006B2CB0" w:rsidRDefault="70A2F540" w:rsidP="1ECD4147">
      <w:pPr>
        <w:pStyle w:val="ListParagraph"/>
        <w:numPr>
          <w:ilvl w:val="1"/>
          <w:numId w:val="14"/>
        </w:numPr>
      </w:pPr>
      <w:r>
        <w:t>Failed to take reasonable steps with regard to contamination at the site</w:t>
      </w:r>
    </w:p>
    <w:p w14:paraId="1FD86675" w14:textId="55B82ED7" w:rsidR="006B2CB0" w:rsidRDefault="007A13E6" w:rsidP="1ECD4147">
      <w:pPr>
        <w:rPr>
          <w:i/>
          <w:iCs/>
          <w:sz w:val="24"/>
          <w:szCs w:val="24"/>
        </w:rPr>
      </w:pPr>
      <w:r>
        <w:br/>
      </w:r>
      <w:r w:rsidRPr="1ECD4147">
        <w:rPr>
          <w:i/>
          <w:iCs/>
          <w:sz w:val="24"/>
          <w:szCs w:val="24"/>
        </w:rPr>
        <w:t>Eligible Activities</w:t>
      </w:r>
    </w:p>
    <w:p w14:paraId="6C6ADD8F" w14:textId="7B07E493" w:rsidR="00612B1E" w:rsidRDefault="0090065F" w:rsidP="005E4683">
      <w:r w:rsidRPr="0090065F">
        <w:t>The Montana Brownfields site redevelopment fund can assist with</w:t>
      </w:r>
      <w:r w:rsidR="005E4683">
        <w:t xml:space="preserve"> various activities to help move sites through the redevelopment and reuse process. A few examples of this assistance include</w:t>
      </w:r>
      <w:r w:rsidRPr="0090065F">
        <w:t xml:space="preserve"> </w:t>
      </w:r>
      <w:r>
        <w:t xml:space="preserve">the following assessment </w:t>
      </w:r>
      <w:r w:rsidRPr="00AB58A3">
        <w:t>activities</w:t>
      </w:r>
      <w:r w:rsidR="00612B1E" w:rsidRPr="00AB58A3">
        <w:t xml:space="preserve">: </w:t>
      </w:r>
    </w:p>
    <w:p w14:paraId="5AC296EE" w14:textId="541C506F" w:rsidR="00612B1E" w:rsidRDefault="00612B1E" w:rsidP="00612B1E">
      <w:pPr>
        <w:pStyle w:val="ListParagraph"/>
        <w:numPr>
          <w:ilvl w:val="1"/>
          <w:numId w:val="14"/>
        </w:numPr>
      </w:pPr>
      <w:r>
        <w:t xml:space="preserve">The </w:t>
      </w:r>
      <w:r w:rsidRPr="00AB58A3">
        <w:t xml:space="preserve">investigation, analysis, and monitoring of a </w:t>
      </w:r>
      <w:r w:rsidR="5FFE4399">
        <w:t>Brownfields</w:t>
      </w:r>
      <w:r w:rsidRPr="00AB58A3">
        <w:t xml:space="preserve"> site to determine the existence and extent of actual or potential </w:t>
      </w:r>
      <w:r w:rsidRPr="00E33D84">
        <w:t>hazardous substances, pollutants, or contaminants</w:t>
      </w:r>
      <w:r w:rsidR="00BF7024">
        <w:t>.</w:t>
      </w:r>
    </w:p>
    <w:p w14:paraId="76251C86" w14:textId="5A5295EA" w:rsidR="00612B1E" w:rsidRDefault="00612B1E" w:rsidP="00612B1E">
      <w:pPr>
        <w:pStyle w:val="ListParagraph"/>
        <w:numPr>
          <w:ilvl w:val="1"/>
          <w:numId w:val="14"/>
        </w:numPr>
      </w:pPr>
      <w:r>
        <w:t>R</w:t>
      </w:r>
      <w:r w:rsidRPr="00AB58A3">
        <w:t>edevelopment planning</w:t>
      </w:r>
      <w:r w:rsidR="00BF7024">
        <w:t>.</w:t>
      </w:r>
    </w:p>
    <w:p w14:paraId="00FB364E" w14:textId="5EB53CFB" w:rsidR="00EE694F" w:rsidRDefault="00EE694F" w:rsidP="009D44AD">
      <w:pPr>
        <w:pStyle w:val="ListParagraph"/>
        <w:numPr>
          <w:ilvl w:val="1"/>
          <w:numId w:val="14"/>
        </w:numPr>
      </w:pPr>
      <w:r>
        <w:t>T</w:t>
      </w:r>
      <w:r w:rsidRPr="00C775DA">
        <w:t>he removal of underground storage tanks located on eligible sites</w:t>
      </w:r>
      <w:r>
        <w:t>.</w:t>
      </w:r>
    </w:p>
    <w:p w14:paraId="746C5B5D" w14:textId="77777777" w:rsidR="007A13E6" w:rsidRDefault="007A13E6" w:rsidP="00F01719">
      <w:pPr>
        <w:rPr>
          <w:i/>
          <w:iCs/>
          <w:sz w:val="24"/>
          <w:szCs w:val="24"/>
        </w:rPr>
      </w:pPr>
    </w:p>
    <w:p w14:paraId="6DCD7C49" w14:textId="39BCECE2" w:rsidR="006B2CB0" w:rsidRDefault="006B2CB0" w:rsidP="00F01719">
      <w:pPr>
        <w:rPr>
          <w:i/>
          <w:iCs/>
          <w:sz w:val="24"/>
          <w:szCs w:val="24"/>
        </w:rPr>
      </w:pPr>
      <w:r w:rsidRPr="006B2CB0">
        <w:rPr>
          <w:i/>
          <w:iCs/>
          <w:sz w:val="24"/>
          <w:szCs w:val="24"/>
        </w:rPr>
        <w:t>Eligible Sites</w:t>
      </w:r>
    </w:p>
    <w:p w14:paraId="4A0C3F86" w14:textId="4EE78C9E" w:rsidR="004F1CB4" w:rsidRDefault="00E33D84" w:rsidP="00901854">
      <w:r>
        <w:t>Brownfield sites are abandoned, idle, blighted, or underutilized property, for which the expansion, redevelopment, or reuse of may be complicated by the presence or potential presence of hazardous substances, pollutants, or contaminants.</w:t>
      </w:r>
    </w:p>
    <w:p w14:paraId="305A833B" w14:textId="62FFD853" w:rsidR="006B2CB0" w:rsidRPr="00AD6246" w:rsidRDefault="006A65B2" w:rsidP="1ECD4147">
      <w:r>
        <w:t xml:space="preserve">A </w:t>
      </w:r>
      <w:r w:rsidR="10803A07">
        <w:t>Site</w:t>
      </w:r>
      <w:r w:rsidR="00AF1D33">
        <w:t xml:space="preserve"> must not be: </w:t>
      </w:r>
    </w:p>
    <w:p w14:paraId="036398C3" w14:textId="0C2A2BEF" w:rsidR="00AF1D33" w:rsidRPr="00AD6246" w:rsidRDefault="00AF1D33" w:rsidP="1ECD4147">
      <w:pPr>
        <w:pStyle w:val="ListParagraph"/>
        <w:numPr>
          <w:ilvl w:val="0"/>
          <w:numId w:val="6"/>
        </w:numPr>
      </w:pPr>
      <w:r>
        <w:t>A property with facilities that have been issued or entered into a unilateral administrative order, a court order, an administrative order on consent, or judicial consent decree or to which a permit has been issued by the United States or an authorized state under</w:t>
      </w:r>
      <w:r w:rsidR="00663D25">
        <w:t xml:space="preserve"> the Resource Conservation &amp; recovery Act</w:t>
      </w:r>
      <w:r>
        <w:t xml:space="preserve"> </w:t>
      </w:r>
      <w:r w:rsidR="00A73E72">
        <w:t>(</w:t>
      </w:r>
      <w:r>
        <w:t>RCRA</w:t>
      </w:r>
      <w:r w:rsidR="00A73E72">
        <w:t>)</w:t>
      </w:r>
      <w:r>
        <w:t xml:space="preserve">, </w:t>
      </w:r>
      <w:r w:rsidR="00A73E72">
        <w:t>Federal Water Pollution Control Act (</w:t>
      </w:r>
      <w:r>
        <w:t>FWPCA</w:t>
      </w:r>
      <w:r w:rsidR="00A73E72">
        <w:t>)</w:t>
      </w:r>
      <w:r>
        <w:t xml:space="preserve">, </w:t>
      </w:r>
      <w:r w:rsidR="00E7237E">
        <w:t>Toxic Substances Control Act (</w:t>
      </w:r>
      <w:r>
        <w:t>TSCA</w:t>
      </w:r>
      <w:r w:rsidR="00E7237E">
        <w:t>)</w:t>
      </w:r>
      <w:r>
        <w:t xml:space="preserve">, or </w:t>
      </w:r>
      <w:r w:rsidR="00DC4A5F">
        <w:t>Safe Drinking Water Act (</w:t>
      </w:r>
      <w:r>
        <w:t>SDWA</w:t>
      </w:r>
      <w:r w:rsidR="00DC4A5F">
        <w:t>)</w:t>
      </w:r>
    </w:p>
    <w:p w14:paraId="65CE31C2" w14:textId="462A9CA4" w:rsidR="00AF1D33" w:rsidRPr="00AD6246" w:rsidRDefault="00AF1D33" w:rsidP="1ECD4147">
      <w:pPr>
        <w:pStyle w:val="ListParagraph"/>
        <w:numPr>
          <w:ilvl w:val="0"/>
          <w:numId w:val="5"/>
        </w:numPr>
      </w:pPr>
      <w:r>
        <w:t>A property with facilities subject to RCRA corrective action (§ 3004(u) or § 3008(h)) to which a corrective action permit or order has been issued or modified to require the implementation of corrective measures;</w:t>
      </w:r>
    </w:p>
    <w:p w14:paraId="7D0AD1AF" w14:textId="3D9B40CC" w:rsidR="00AF1D33" w:rsidRPr="00AD6246" w:rsidRDefault="00AF1D33" w:rsidP="1ECD4147">
      <w:pPr>
        <w:pStyle w:val="ListParagraph"/>
        <w:numPr>
          <w:ilvl w:val="0"/>
          <w:numId w:val="4"/>
        </w:numPr>
      </w:pPr>
      <w:r>
        <w:t xml:space="preserve">A property that are land disposal units that have submitted a RCRA closure notification or that are subject to closure requirements specified in a closure plan or permit. </w:t>
      </w:r>
    </w:p>
    <w:p w14:paraId="2741B48A" w14:textId="0CBB5AD5" w:rsidR="00AF1D33" w:rsidRPr="00AD6246" w:rsidRDefault="00AF1D33" w:rsidP="1ECD4147">
      <w:pPr>
        <w:pStyle w:val="ListParagraph"/>
        <w:numPr>
          <w:ilvl w:val="0"/>
          <w:numId w:val="3"/>
        </w:numPr>
      </w:pPr>
      <w:r>
        <w:t>A property where there has been a release of P</w:t>
      </w:r>
      <w:r w:rsidR="00C64AA2">
        <w:t>olychlorinated Biphenyls (P</w:t>
      </w:r>
      <w:r>
        <w:t>CBs</w:t>
      </w:r>
      <w:r w:rsidR="00C64AA2">
        <w:t>)</w:t>
      </w:r>
      <w:r>
        <w:t xml:space="preserve"> and all or part of the property is subject to TSCA remediation; and </w:t>
      </w:r>
    </w:p>
    <w:p w14:paraId="71A9DD90" w14:textId="4B4F817C" w:rsidR="00AF1D33" w:rsidRPr="00AD6246" w:rsidRDefault="00AF1D33" w:rsidP="1ECD4147">
      <w:pPr>
        <w:pStyle w:val="ListParagraph"/>
        <w:numPr>
          <w:ilvl w:val="0"/>
          <w:numId w:val="2"/>
        </w:numPr>
      </w:pPr>
      <w:r>
        <w:t>A property that includes facilities receiving monies for cleanup from the L</w:t>
      </w:r>
      <w:r w:rsidR="00DA45EC">
        <w:t xml:space="preserve">eaky </w:t>
      </w:r>
      <w:r>
        <w:t>U</w:t>
      </w:r>
      <w:r w:rsidR="00DA45EC">
        <w:t>n</w:t>
      </w:r>
      <w:r w:rsidR="00397C5F">
        <w:t xml:space="preserve">derground </w:t>
      </w:r>
      <w:r>
        <w:t>S</w:t>
      </w:r>
      <w:r w:rsidR="00397C5F">
        <w:t xml:space="preserve">torage </w:t>
      </w:r>
      <w:r>
        <w:t>T</w:t>
      </w:r>
      <w:r w:rsidR="00397C5F">
        <w:t>ank (LUST)</w:t>
      </w:r>
      <w:r>
        <w:t xml:space="preserve"> Trust Fund.</w:t>
      </w:r>
    </w:p>
    <w:p w14:paraId="17E0FFE0" w14:textId="5392166A" w:rsidR="00E267A8" w:rsidRDefault="00E267A8" w:rsidP="00E267A8">
      <w:r>
        <w:t xml:space="preserve">Sites where petroleum contamination is the predominant contaminant must also meet the following criteria: </w:t>
      </w:r>
    </w:p>
    <w:p w14:paraId="33843ACB" w14:textId="7F7D1A11" w:rsidR="00E8467B" w:rsidRDefault="00AF1D33" w:rsidP="00E267A8">
      <w:pPr>
        <w:pStyle w:val="ListParagraph"/>
        <w:numPr>
          <w:ilvl w:val="0"/>
          <w:numId w:val="14"/>
        </w:numPr>
      </w:pPr>
      <w:r>
        <w:lastRenderedPageBreak/>
        <w:t>Have no viable responsible party</w:t>
      </w:r>
      <w:r w:rsidR="006A65B2">
        <w:t xml:space="preserve"> – </w:t>
      </w:r>
      <w:r w:rsidR="00773AA6">
        <w:t xml:space="preserve">DEQ will determine first, whether a responsible party </w:t>
      </w:r>
      <w:r w:rsidR="00C72971">
        <w:t>(RP)</w:t>
      </w:r>
      <w:r w:rsidR="00773AA6">
        <w:t>exists</w:t>
      </w:r>
      <w:r w:rsidR="00C72971">
        <w:t>, if one does exist, DEQ determines whether the RP</w:t>
      </w:r>
      <w:r w:rsidR="00EE661F">
        <w:t xml:space="preserve"> is financially viable to conduct the necessary environmental work.</w:t>
      </w:r>
    </w:p>
    <w:p w14:paraId="3654006E" w14:textId="17D4587C" w:rsidR="00E8467B" w:rsidRPr="008C5EDC" w:rsidRDefault="00E8467B" w:rsidP="00E8467B">
      <w:pPr>
        <w:pStyle w:val="ListParagraph"/>
        <w:numPr>
          <w:ilvl w:val="0"/>
          <w:numId w:val="14"/>
        </w:numPr>
      </w:pPr>
      <w:r>
        <w:t xml:space="preserve">Generally, DEQ will consider </w:t>
      </w:r>
      <w:r w:rsidR="0023371B">
        <w:t xml:space="preserve">ongoing businesses or companies (corporations, LLCs, partnerships, etc.) and government entities to be viable. </w:t>
      </w:r>
      <w:r w:rsidR="00FB1B93">
        <w:t xml:space="preserve">DEQ will </w:t>
      </w:r>
      <w:r w:rsidR="0079246B" w:rsidRPr="0079246B">
        <w:t>generally deem a defunct or insolvent company and an individual responsible party to be not viable.</w:t>
      </w:r>
      <w:r w:rsidR="0079246B" w:rsidRPr="0079246B">
        <w:rPr>
          <w:rFonts w:ascii="Helvetica" w:hAnsi="Helvetica" w:cs="Helvetica"/>
          <w:color w:val="1B1B1B"/>
          <w:sz w:val="25"/>
          <w:szCs w:val="25"/>
          <w:shd w:val="clear" w:color="auto" w:fill="FFFFFF"/>
        </w:rPr>
        <w:t xml:space="preserve"> </w:t>
      </w:r>
      <w:r w:rsidR="0079246B">
        <w:t>DEQ w</w:t>
      </w:r>
      <w:r w:rsidR="0079246B" w:rsidRPr="0079246B">
        <w:t>ill apply these assumptions</w:t>
      </w:r>
      <w:r w:rsidR="0079246B">
        <w:t xml:space="preserve"> </w:t>
      </w:r>
      <w:r w:rsidR="0079246B" w:rsidRPr="0079246B">
        <w:t>unless there is information suggesting that the assumption is not appropriate in a particular case (e.g., if there is information that an individual has adequate financial resources to address contamination at a site, or if there is information indicating an ongoing business is not, in fact, viable). </w:t>
      </w:r>
      <w:r w:rsidR="00012026" w:rsidRPr="00012026">
        <w:t xml:space="preserve">An applicant/recipient should indicate if one of the above assumptions applies and provide support for the assertion. In circumstances not covered by one of the above assumptions, the applicant/recipient should explain why the </w:t>
      </w:r>
      <w:r w:rsidR="00012026" w:rsidRPr="008C5EDC">
        <w:t>responsible party is not viable.</w:t>
      </w:r>
    </w:p>
    <w:p w14:paraId="01D68CA8" w14:textId="49D5E030" w:rsidR="1ECD4147" w:rsidRDefault="1ECD4147" w:rsidP="1ECD4147">
      <w:pPr>
        <w:pStyle w:val="ListParagraph"/>
      </w:pPr>
    </w:p>
    <w:p w14:paraId="10235DC7" w14:textId="32B1F63C" w:rsidR="008C5EDC" w:rsidRPr="008C5EDC" w:rsidRDefault="00847A52" w:rsidP="008C5EDC">
      <w:pPr>
        <w:shd w:val="clear" w:color="auto" w:fill="FFFFFF"/>
        <w:spacing w:before="100" w:beforeAutospacing="1" w:after="100" w:afterAutospacing="1" w:line="240" w:lineRule="auto"/>
        <w:rPr>
          <w:rFonts w:eastAsia="Times New Roman" w:cs="Helvetica"/>
          <w:color w:val="1B1B1B"/>
        </w:rPr>
      </w:pPr>
      <w:r w:rsidRPr="00847A52">
        <w:rPr>
          <w:rFonts w:eastAsia="Times New Roman" w:cs="Helvetica"/>
          <w:color w:val="1B1B1B"/>
        </w:rPr>
        <w:t>If the owner disagrees with DEQ’s general determination of viability, they can provide or may be asked to provide the following</w:t>
      </w:r>
      <w:r w:rsidR="00133AB5" w:rsidRPr="40FA3D7D">
        <w:rPr>
          <w:rFonts w:eastAsia="Times New Roman" w:cs="Helvetica"/>
          <w:color w:val="1B1B1B"/>
        </w:rPr>
        <w:t>:</w:t>
      </w:r>
    </w:p>
    <w:p w14:paraId="37D162ED" w14:textId="064BB903" w:rsidR="008C5EDC" w:rsidRPr="008C5EDC" w:rsidRDefault="008C5EDC" w:rsidP="008C5EDC">
      <w:pPr>
        <w:numPr>
          <w:ilvl w:val="0"/>
          <w:numId w:val="14"/>
        </w:numPr>
        <w:shd w:val="clear" w:color="auto" w:fill="FFFFFF"/>
        <w:spacing w:before="100" w:beforeAutospacing="1" w:after="60" w:line="240" w:lineRule="auto"/>
        <w:rPr>
          <w:rFonts w:eastAsia="Times New Roman" w:cs="Helvetica"/>
          <w:color w:val="1B1B1B"/>
        </w:rPr>
      </w:pPr>
      <w:r w:rsidRPr="008C5EDC">
        <w:rPr>
          <w:rFonts w:eastAsia="Times New Roman" w:cs="Helvetica"/>
          <w:b/>
          <w:bCs/>
          <w:color w:val="1B1B1B"/>
        </w:rPr>
        <w:t>Responsible Party</w:t>
      </w:r>
      <w:r w:rsidRPr="008C5EDC">
        <w:rPr>
          <w:rFonts w:eastAsia="Times New Roman" w:cs="Helvetica"/>
          <w:color w:val="1B1B1B"/>
        </w:rPr>
        <w:t xml:space="preserve">: the responsible party </w:t>
      </w:r>
      <w:r w:rsidR="00133AB5">
        <w:rPr>
          <w:rFonts w:eastAsia="Times New Roman" w:cs="Helvetica"/>
          <w:color w:val="1B1B1B"/>
        </w:rPr>
        <w:t xml:space="preserve">could be asked </w:t>
      </w:r>
      <w:r w:rsidR="00E42AE7">
        <w:rPr>
          <w:rFonts w:eastAsia="Times New Roman" w:cs="Helvetica"/>
          <w:color w:val="1B1B1B"/>
        </w:rPr>
        <w:t xml:space="preserve">to provide </w:t>
      </w:r>
      <w:r w:rsidRPr="008C5EDC">
        <w:rPr>
          <w:rFonts w:eastAsia="Times New Roman" w:cs="Helvetica"/>
          <w:color w:val="1B1B1B"/>
        </w:rPr>
        <w:t xml:space="preserve">financial information (tax returns, bank statements, financial statements, insurance policies designed to address environmental liabilities, etc.), especially if the responsible party is still associated with the site or is the applicant/recipient, and, therefore, will receive the benefit of the </w:t>
      </w:r>
      <w:r w:rsidR="0095308F">
        <w:rPr>
          <w:rFonts w:eastAsia="Times New Roman" w:cs="Helvetica"/>
          <w:color w:val="1B1B1B"/>
        </w:rPr>
        <w:t>funding</w:t>
      </w:r>
      <w:r w:rsidRPr="008C5EDC">
        <w:rPr>
          <w:rFonts w:eastAsia="Times New Roman" w:cs="Helvetica"/>
          <w:color w:val="1B1B1B"/>
        </w:rPr>
        <w:t>. An applicant/recipient that is a responsible party and claiming it is not viable should provide conclusive information, such as an INDIPAY or MUNIPAY analysis, on its inability to pay for the assessment or cleanup.</w:t>
      </w:r>
    </w:p>
    <w:p w14:paraId="76CCEA72" w14:textId="1E663496" w:rsidR="008C5EDC" w:rsidRPr="008C5EDC" w:rsidRDefault="008C5EDC" w:rsidP="008C5EDC">
      <w:pPr>
        <w:numPr>
          <w:ilvl w:val="0"/>
          <w:numId w:val="14"/>
        </w:numPr>
        <w:shd w:val="clear" w:color="auto" w:fill="FFFFFF"/>
        <w:spacing w:before="100" w:beforeAutospacing="1" w:after="60" w:line="240" w:lineRule="auto"/>
        <w:rPr>
          <w:rFonts w:eastAsia="Times New Roman" w:cs="Helvetica"/>
          <w:color w:val="1B1B1B"/>
        </w:rPr>
      </w:pPr>
      <w:r w:rsidRPr="008C5EDC">
        <w:rPr>
          <w:rFonts w:eastAsia="Times New Roman" w:cs="Helvetica"/>
          <w:b/>
          <w:bCs/>
          <w:color w:val="1B1B1B"/>
        </w:rPr>
        <w:t>Federal, State, and Local Records</w:t>
      </w:r>
      <w:r w:rsidRPr="008C5EDC">
        <w:rPr>
          <w:rFonts w:eastAsia="Times New Roman" w:cs="Helvetica"/>
          <w:color w:val="1B1B1B"/>
        </w:rPr>
        <w:t xml:space="preserve">: Federal, state, and local (i.e., county and city) records often provide information on the status of a business. </w:t>
      </w:r>
      <w:r w:rsidR="009E0B0A">
        <w:rPr>
          <w:rFonts w:eastAsia="Times New Roman" w:cs="Helvetica"/>
          <w:color w:val="1B1B1B"/>
        </w:rPr>
        <w:t xml:space="preserve">These records </w:t>
      </w:r>
      <w:r w:rsidR="00D36860">
        <w:rPr>
          <w:rFonts w:eastAsia="Times New Roman" w:cs="Helvetica"/>
          <w:color w:val="1B1B1B"/>
        </w:rPr>
        <w:t xml:space="preserve">can </w:t>
      </w:r>
      <w:r w:rsidR="009E0B0A">
        <w:rPr>
          <w:rFonts w:eastAsia="Times New Roman" w:cs="Helvetica"/>
          <w:color w:val="1B1B1B"/>
        </w:rPr>
        <w:t>be</w:t>
      </w:r>
      <w:r w:rsidRPr="008C5EDC">
        <w:rPr>
          <w:rFonts w:eastAsia="Times New Roman" w:cs="Helvetica"/>
          <w:color w:val="1B1B1B"/>
        </w:rPr>
        <w:t xml:space="preserve"> search</w:t>
      </w:r>
      <w:r w:rsidR="009E0B0A">
        <w:rPr>
          <w:rFonts w:eastAsia="Times New Roman" w:cs="Helvetica"/>
          <w:color w:val="1B1B1B"/>
        </w:rPr>
        <w:t>ed</w:t>
      </w:r>
      <w:r w:rsidRPr="008C5EDC">
        <w:rPr>
          <w:rFonts w:eastAsia="Times New Roman" w:cs="Helvetica"/>
          <w:color w:val="1B1B1B"/>
        </w:rPr>
        <w:t xml:space="preserve"> for information on </w:t>
      </w:r>
      <w:r w:rsidR="00D36860">
        <w:rPr>
          <w:rFonts w:eastAsia="Times New Roman" w:cs="Helvetica"/>
          <w:color w:val="1B1B1B"/>
        </w:rPr>
        <w:t>the viability of a</w:t>
      </w:r>
      <w:r w:rsidRPr="008C5EDC">
        <w:rPr>
          <w:rFonts w:eastAsia="Times New Roman" w:cs="Helvetica"/>
          <w:color w:val="1B1B1B"/>
        </w:rPr>
        <w:t xml:space="preserve"> responsible party. Examples of such resources include regulatory records (e.g., state hazardous waste records), Secretary of State databases, and property/land records.</w:t>
      </w:r>
    </w:p>
    <w:p w14:paraId="2E4B1B24" w14:textId="129F324A" w:rsidR="008C5EDC" w:rsidRPr="008C5EDC" w:rsidRDefault="008C5EDC" w:rsidP="008C5EDC">
      <w:pPr>
        <w:numPr>
          <w:ilvl w:val="0"/>
          <w:numId w:val="14"/>
        </w:numPr>
        <w:shd w:val="clear" w:color="auto" w:fill="FFFFFF"/>
        <w:spacing w:before="100" w:beforeAutospacing="1" w:after="0" w:line="240" w:lineRule="auto"/>
        <w:rPr>
          <w:rFonts w:eastAsia="Times New Roman" w:cs="Helvetica"/>
          <w:color w:val="1B1B1B"/>
        </w:rPr>
      </w:pPr>
      <w:r w:rsidRPr="008C5EDC">
        <w:rPr>
          <w:rFonts w:eastAsia="Times New Roman" w:cs="Helvetica"/>
          <w:b/>
          <w:bCs/>
          <w:color w:val="1B1B1B"/>
        </w:rPr>
        <w:t>Public and Commercial Financial Databases</w:t>
      </w:r>
      <w:r w:rsidRPr="008C5EDC">
        <w:rPr>
          <w:rFonts w:eastAsia="Times New Roman" w:cs="Helvetica"/>
          <w:color w:val="1B1B1B"/>
        </w:rPr>
        <w:t xml:space="preserve">: Applicants/recipients also may obtain </w:t>
      </w:r>
      <w:r w:rsidR="00D36860">
        <w:rPr>
          <w:rFonts w:eastAsia="Times New Roman" w:cs="Helvetica"/>
          <w:color w:val="1B1B1B"/>
        </w:rPr>
        <w:t xml:space="preserve">and provide </w:t>
      </w:r>
      <w:r w:rsidRPr="008C5EDC">
        <w:rPr>
          <w:rFonts w:eastAsia="Times New Roman" w:cs="Helvetica"/>
          <w:color w:val="1B1B1B"/>
        </w:rPr>
        <w:t xml:space="preserve">financial data from publicly available and commercial sources. Listed below are examples of sources for financial data. Please note that some commercial sources may charge fees. </w:t>
      </w:r>
      <w:r w:rsidR="00887969">
        <w:rPr>
          <w:rFonts w:eastAsia="Times New Roman" w:cs="Helvetica"/>
          <w:color w:val="1B1B1B"/>
        </w:rPr>
        <w:t>DEQ</w:t>
      </w:r>
      <w:r w:rsidRPr="008C5EDC">
        <w:rPr>
          <w:rFonts w:eastAsia="Times New Roman" w:cs="Helvetica"/>
          <w:color w:val="1B1B1B"/>
        </w:rPr>
        <w:t xml:space="preserve"> does not endorse the use of any specific sources, and </w:t>
      </w:r>
      <w:r w:rsidR="00887969">
        <w:rPr>
          <w:rFonts w:eastAsia="Times New Roman" w:cs="Helvetica"/>
          <w:color w:val="1B1B1B"/>
        </w:rPr>
        <w:t>DEQ</w:t>
      </w:r>
      <w:r w:rsidRPr="008C5EDC">
        <w:rPr>
          <w:rFonts w:eastAsia="Times New Roman" w:cs="Helvetica"/>
          <w:color w:val="1B1B1B"/>
        </w:rPr>
        <w:t xml:space="preserve"> will accept reliable data from other sources as part of a</w:t>
      </w:r>
      <w:r w:rsidR="00887969">
        <w:rPr>
          <w:rFonts w:eastAsia="Times New Roman" w:cs="Helvetica"/>
          <w:color w:val="1B1B1B"/>
        </w:rPr>
        <w:t>n application</w:t>
      </w:r>
      <w:r w:rsidRPr="008C5EDC">
        <w:rPr>
          <w:rFonts w:eastAsia="Times New Roman" w:cs="Helvetica"/>
          <w:color w:val="1B1B1B"/>
        </w:rPr>
        <w:t xml:space="preserve"> for funding.</w:t>
      </w:r>
    </w:p>
    <w:p w14:paraId="77E06D7F" w14:textId="77777777" w:rsidR="008C5EDC" w:rsidRDefault="008C5EDC" w:rsidP="00D01801">
      <w:pPr>
        <w:pStyle w:val="ListParagraph"/>
      </w:pPr>
    </w:p>
    <w:p w14:paraId="58CA0E74" w14:textId="46940B24" w:rsidR="00887969" w:rsidRDefault="00887969" w:rsidP="00D01801">
      <w:pPr>
        <w:pStyle w:val="ListParagraph"/>
      </w:pPr>
      <w:r w:rsidRPr="00887969">
        <w:t>Examples of sources: Lexis/Nexus, Dun &amp; Bradstreet reports, Hoover’s Business Information, Edgar Database of Corporate Information, Thomas Register of American Manufacturers, The Public Register, Corporate Annual Reports, Internet search engines (e.g. Google, Ask).</w:t>
      </w:r>
    </w:p>
    <w:p w14:paraId="6B25DBF1" w14:textId="77777777" w:rsidR="00831F62" w:rsidRDefault="00831F62" w:rsidP="00831F62">
      <w:pPr>
        <w:rPr>
          <w:b/>
          <w:bCs/>
        </w:rPr>
      </w:pPr>
    </w:p>
    <w:p w14:paraId="42E6A37D" w14:textId="77777777" w:rsidR="0005412A" w:rsidRDefault="0005412A" w:rsidP="00831F62">
      <w:pPr>
        <w:rPr>
          <w:b/>
          <w:bCs/>
        </w:rPr>
      </w:pPr>
    </w:p>
    <w:p w14:paraId="61BD7320" w14:textId="1D3FE89E" w:rsidR="00831F62" w:rsidRPr="00500E55" w:rsidRDefault="00500E55" w:rsidP="00500E55">
      <w:pPr>
        <w:pStyle w:val="Heading1"/>
        <w:rPr>
          <w:b/>
          <w:bCs/>
          <w:color w:val="auto"/>
          <w:sz w:val="26"/>
          <w:szCs w:val="26"/>
        </w:rPr>
      </w:pPr>
      <w:bookmarkStart w:id="2" w:name="_Toc211003035"/>
      <w:r w:rsidRPr="40FA3D7D">
        <w:rPr>
          <w:b/>
          <w:bCs/>
          <w:color w:val="auto"/>
          <w:sz w:val="26"/>
          <w:szCs w:val="26"/>
        </w:rPr>
        <w:lastRenderedPageBreak/>
        <w:t>3.0</w:t>
      </w:r>
      <w:r w:rsidR="00831F62" w:rsidRPr="40FA3D7D">
        <w:rPr>
          <w:b/>
          <w:bCs/>
          <w:color w:val="auto"/>
          <w:sz w:val="26"/>
          <w:szCs w:val="26"/>
        </w:rPr>
        <w:t xml:space="preserve"> </w:t>
      </w:r>
      <w:r w:rsidR="006F1B83" w:rsidRPr="40FA3D7D">
        <w:rPr>
          <w:b/>
          <w:bCs/>
          <w:color w:val="auto"/>
          <w:sz w:val="26"/>
          <w:szCs w:val="26"/>
        </w:rPr>
        <w:t xml:space="preserve">Montana Brownfields Site Redevelopment Fund </w:t>
      </w:r>
      <w:r w:rsidR="00887969" w:rsidRPr="40FA3D7D">
        <w:rPr>
          <w:b/>
          <w:bCs/>
          <w:color w:val="auto"/>
          <w:sz w:val="26"/>
          <w:szCs w:val="26"/>
        </w:rPr>
        <w:t xml:space="preserve">– </w:t>
      </w:r>
      <w:r w:rsidR="006F1B83" w:rsidRPr="40FA3D7D">
        <w:rPr>
          <w:b/>
          <w:bCs/>
          <w:color w:val="auto"/>
          <w:sz w:val="26"/>
          <w:szCs w:val="26"/>
        </w:rPr>
        <w:t>Cleanup Assistance</w:t>
      </w:r>
      <w:bookmarkEnd w:id="2"/>
      <w:r w:rsidR="006F1B83" w:rsidRPr="40FA3D7D">
        <w:rPr>
          <w:b/>
          <w:bCs/>
          <w:color w:val="auto"/>
          <w:sz w:val="26"/>
          <w:szCs w:val="26"/>
        </w:rPr>
        <w:t xml:space="preserve"> </w:t>
      </w:r>
    </w:p>
    <w:p w14:paraId="3BF679BA" w14:textId="3F2BA5D7" w:rsidR="00831F62" w:rsidRPr="006B2CB0" w:rsidRDefault="00831F62" w:rsidP="00831F62">
      <w:pPr>
        <w:rPr>
          <w:i/>
          <w:iCs/>
          <w:sz w:val="24"/>
          <w:szCs w:val="24"/>
        </w:rPr>
      </w:pPr>
      <w:r w:rsidRPr="006B2CB0">
        <w:rPr>
          <w:i/>
          <w:iCs/>
          <w:sz w:val="24"/>
          <w:szCs w:val="24"/>
        </w:rPr>
        <w:t xml:space="preserve">Eligible </w:t>
      </w:r>
      <w:r w:rsidR="00810C0B">
        <w:rPr>
          <w:i/>
          <w:iCs/>
          <w:sz w:val="24"/>
          <w:szCs w:val="24"/>
        </w:rPr>
        <w:t>E</w:t>
      </w:r>
      <w:r w:rsidRPr="006B2CB0">
        <w:rPr>
          <w:i/>
          <w:iCs/>
          <w:sz w:val="24"/>
          <w:szCs w:val="24"/>
        </w:rPr>
        <w:t>ntities</w:t>
      </w:r>
    </w:p>
    <w:p w14:paraId="79A8AC02" w14:textId="77777777" w:rsidR="00831F62" w:rsidRDefault="00831F62" w:rsidP="00831F62">
      <w:pPr>
        <w:pStyle w:val="ListParagraph"/>
        <w:numPr>
          <w:ilvl w:val="0"/>
          <w:numId w:val="14"/>
        </w:numPr>
      </w:pPr>
      <w:r>
        <w:t>Tribal governments</w:t>
      </w:r>
    </w:p>
    <w:p w14:paraId="56DBC7F4" w14:textId="77777777" w:rsidR="00831F62" w:rsidRDefault="00831F62" w:rsidP="00831F62">
      <w:pPr>
        <w:pStyle w:val="ListParagraph"/>
        <w:numPr>
          <w:ilvl w:val="0"/>
          <w:numId w:val="14"/>
        </w:numPr>
      </w:pPr>
      <w:r>
        <w:t>State Agency</w:t>
      </w:r>
    </w:p>
    <w:p w14:paraId="4892C5F7" w14:textId="77777777" w:rsidR="00831F62" w:rsidRDefault="00831F62" w:rsidP="00831F62">
      <w:pPr>
        <w:pStyle w:val="ListParagraph"/>
        <w:numPr>
          <w:ilvl w:val="0"/>
          <w:numId w:val="14"/>
        </w:numPr>
      </w:pPr>
      <w:r>
        <w:t>Non-profit organizations</w:t>
      </w:r>
    </w:p>
    <w:p w14:paraId="5A15C664" w14:textId="3D791585" w:rsidR="00810C0B" w:rsidRDefault="00810C0B" w:rsidP="00831F62">
      <w:pPr>
        <w:pStyle w:val="ListParagraph"/>
        <w:numPr>
          <w:ilvl w:val="0"/>
          <w:numId w:val="14"/>
        </w:numPr>
      </w:pPr>
      <w:r>
        <w:t>Economic development organizations</w:t>
      </w:r>
    </w:p>
    <w:p w14:paraId="41C164E7" w14:textId="77777777" w:rsidR="008D4A9C" w:rsidRDefault="00831F62" w:rsidP="008D4A9C">
      <w:pPr>
        <w:pStyle w:val="ListParagraph"/>
        <w:numPr>
          <w:ilvl w:val="0"/>
          <w:numId w:val="14"/>
        </w:numPr>
      </w:pPr>
      <w:r>
        <w:t>Local governments</w:t>
      </w:r>
    </w:p>
    <w:p w14:paraId="19EA6FBC" w14:textId="77777777" w:rsidR="008D4A9C" w:rsidRDefault="008D4A9C" w:rsidP="008D4A9C">
      <w:pPr>
        <w:pStyle w:val="ListParagraph"/>
      </w:pPr>
    </w:p>
    <w:p w14:paraId="08D41D21" w14:textId="0380B622" w:rsidR="008D4A9C" w:rsidRDefault="008529D8" w:rsidP="005D4FA8">
      <w:r>
        <w:t>(Neither p</w:t>
      </w:r>
      <w:r w:rsidR="008D4A9C">
        <w:t xml:space="preserve">rivate property owners </w:t>
      </w:r>
      <w:r>
        <w:t>n</w:t>
      </w:r>
      <w:r w:rsidR="008D4A9C">
        <w:t xml:space="preserve">or </w:t>
      </w:r>
      <w:r>
        <w:t>p</w:t>
      </w:r>
      <w:r w:rsidR="008D4A9C">
        <w:t xml:space="preserve">rospective </w:t>
      </w:r>
      <w:r>
        <w:t>p</w:t>
      </w:r>
      <w:r w:rsidR="008D4A9C">
        <w:t>urchasers</w:t>
      </w:r>
      <w:r>
        <w:t xml:space="preserve"> are eligible for Montana Brownfields site redevelopment fund cleanup assistance. These entities are </w:t>
      </w:r>
      <w:r w:rsidR="0080211C">
        <w:t xml:space="preserve">potentially </w:t>
      </w:r>
      <w:r>
        <w:t xml:space="preserve">eligible to receive cleanup </w:t>
      </w:r>
      <w:r w:rsidR="00175747">
        <w:t>loans</w:t>
      </w:r>
      <w:r w:rsidR="0067700F">
        <w:t xml:space="preserve"> through </w:t>
      </w:r>
      <w:r w:rsidR="006D0551">
        <w:t>local</w:t>
      </w:r>
      <w:r w:rsidR="006A7449">
        <w:t>ly administered Brownfields Revolving Loan Fund</w:t>
      </w:r>
      <w:r w:rsidR="00785A63">
        <w:t xml:space="preserve"> Grants (where available). Please reach out to </w:t>
      </w:r>
      <w:r w:rsidR="00B7150E">
        <w:t xml:space="preserve">the DEQ Brownfields Program for </w:t>
      </w:r>
      <w:r w:rsidR="00D651EA">
        <w:t>additional information.)</w:t>
      </w:r>
      <w:r>
        <w:t xml:space="preserve"> </w:t>
      </w:r>
    </w:p>
    <w:p w14:paraId="6A232E19" w14:textId="48CF59BC" w:rsidR="28FACCE9" w:rsidRDefault="28FACCE9" w:rsidP="1ECD4147">
      <w:r>
        <w:t>Eligible entities must not be a responsible party as defined in (HB808 Section 3):</w:t>
      </w:r>
    </w:p>
    <w:p w14:paraId="3BBE0DAB" w14:textId="49701CB5" w:rsidR="28FACCE9" w:rsidRDefault="28FACCE9" w:rsidP="1ECD4147">
      <w:pPr>
        <w:pStyle w:val="ListParagraph"/>
        <w:numPr>
          <w:ilvl w:val="0"/>
          <w:numId w:val="7"/>
        </w:numPr>
      </w:pPr>
      <w:r>
        <w:t>A person responsible for conducting the assessment, investigation, and cleanup at a brownfield site as determined through:</w:t>
      </w:r>
    </w:p>
    <w:p w14:paraId="6A5363D0" w14:textId="2C9EA6CD" w:rsidR="28FACCE9" w:rsidRDefault="28FACCE9" w:rsidP="1ECD4147">
      <w:pPr>
        <w:pStyle w:val="ListParagraph"/>
        <w:numPr>
          <w:ilvl w:val="1"/>
          <w:numId w:val="7"/>
        </w:numPr>
      </w:pPr>
      <w:r>
        <w:t xml:space="preserve">A judgement rendered in a court of law or an administrative order; </w:t>
      </w:r>
    </w:p>
    <w:p w14:paraId="6E888582" w14:textId="18AEC532" w:rsidR="28FACCE9" w:rsidRDefault="28FACCE9" w:rsidP="1ECD4147">
      <w:pPr>
        <w:pStyle w:val="ListParagraph"/>
        <w:numPr>
          <w:ilvl w:val="1"/>
          <w:numId w:val="7"/>
        </w:numPr>
      </w:pPr>
      <w:r>
        <w:t xml:space="preserve">An enforcement action by federal authorities or the department; </w:t>
      </w:r>
    </w:p>
    <w:p w14:paraId="5892C6A7" w14:textId="6F353F7D" w:rsidR="28FACCE9" w:rsidRDefault="28FACCE9" w:rsidP="1ECD4147">
      <w:pPr>
        <w:pStyle w:val="ListParagraph"/>
        <w:numPr>
          <w:ilvl w:val="1"/>
          <w:numId w:val="7"/>
        </w:numPr>
      </w:pPr>
      <w:r>
        <w:t>A citizen suit, contribution action, or other 3</w:t>
      </w:r>
      <w:r w:rsidRPr="1ECD4147">
        <w:rPr>
          <w:vertAlign w:val="superscript"/>
        </w:rPr>
        <w:t>rd</w:t>
      </w:r>
      <w:r>
        <w:t xml:space="preserve"> party claim brought against the current owner of a brownfield site; or</w:t>
      </w:r>
    </w:p>
    <w:p w14:paraId="2988F032" w14:textId="62F32FB8" w:rsidR="28FACCE9" w:rsidRDefault="28FACCE9" w:rsidP="1ECD4147">
      <w:pPr>
        <w:pStyle w:val="ListParagraph"/>
        <w:numPr>
          <w:ilvl w:val="0"/>
          <w:numId w:val="14"/>
        </w:numPr>
      </w:pPr>
      <w:r>
        <w:t>A current owner or prospective purchaser of the site must not have:</w:t>
      </w:r>
    </w:p>
    <w:p w14:paraId="6AD88E57" w14:textId="4484EE7F" w:rsidR="28FACCE9" w:rsidRDefault="28FACCE9" w:rsidP="1ECD4147">
      <w:pPr>
        <w:pStyle w:val="ListParagraph"/>
        <w:numPr>
          <w:ilvl w:val="1"/>
          <w:numId w:val="14"/>
        </w:numPr>
      </w:pPr>
      <w:r>
        <w:t>Dispensed or disposed of petroleum, petroleum product, or hazardous substance</w:t>
      </w:r>
    </w:p>
    <w:p w14:paraId="59A028AD" w14:textId="349320CB" w:rsidR="28FACCE9" w:rsidRDefault="28FACCE9" w:rsidP="1ECD4147">
      <w:pPr>
        <w:pStyle w:val="ListParagraph"/>
        <w:numPr>
          <w:ilvl w:val="1"/>
          <w:numId w:val="14"/>
        </w:numPr>
      </w:pPr>
      <w:r>
        <w:t>Exacerbated existing contamination at the site;</w:t>
      </w:r>
    </w:p>
    <w:p w14:paraId="7D855E23" w14:textId="5141FAB7" w:rsidR="28FACCE9" w:rsidRDefault="28FACCE9" w:rsidP="1ECD4147">
      <w:pPr>
        <w:pStyle w:val="ListParagraph"/>
        <w:numPr>
          <w:ilvl w:val="1"/>
          <w:numId w:val="14"/>
        </w:numPr>
      </w:pPr>
      <w:r>
        <w:t>Owned the site when any dispensing or disposal of petroleum or hazardous substances took place</w:t>
      </w:r>
    </w:p>
    <w:p w14:paraId="77DA7BE3" w14:textId="770DC03C" w:rsidR="28FACCE9" w:rsidRDefault="28FACCE9" w:rsidP="1ECD4147">
      <w:pPr>
        <w:pStyle w:val="ListParagraph"/>
        <w:numPr>
          <w:ilvl w:val="1"/>
          <w:numId w:val="14"/>
        </w:numPr>
      </w:pPr>
      <w:r>
        <w:t>Failed to take reasonable steps with regard to contamination at the site</w:t>
      </w:r>
    </w:p>
    <w:p w14:paraId="7DE4EB2C" w14:textId="53984DEB" w:rsidR="1ECD4147" w:rsidRDefault="1ECD4147"/>
    <w:p w14:paraId="31CB15A1" w14:textId="77777777" w:rsidR="00612B1E" w:rsidRDefault="00612B1E" w:rsidP="00612B1E">
      <w:pPr>
        <w:rPr>
          <w:i/>
          <w:iCs/>
          <w:sz w:val="24"/>
          <w:szCs w:val="24"/>
        </w:rPr>
      </w:pPr>
      <w:r>
        <w:rPr>
          <w:i/>
          <w:iCs/>
          <w:sz w:val="24"/>
          <w:szCs w:val="24"/>
        </w:rPr>
        <w:t>Eligible Activities</w:t>
      </w:r>
    </w:p>
    <w:p w14:paraId="29FEBFBF" w14:textId="77777777" w:rsidR="006B42A9" w:rsidRDefault="006B42A9" w:rsidP="006B42A9">
      <w:r w:rsidRPr="0090065F">
        <w:t>The Montana Brownfields site redevelopment fund can assist with</w:t>
      </w:r>
      <w:r>
        <w:t xml:space="preserve"> various activities to help move sites through the redevelopment and reuse process. A few examples of this assistance include</w:t>
      </w:r>
      <w:r w:rsidRPr="0090065F">
        <w:t xml:space="preserve"> </w:t>
      </w:r>
      <w:r>
        <w:t xml:space="preserve">the following assessment </w:t>
      </w:r>
      <w:r w:rsidRPr="00AB58A3">
        <w:t xml:space="preserve">activities: </w:t>
      </w:r>
    </w:p>
    <w:p w14:paraId="2692F773" w14:textId="2285455C" w:rsidR="00612B1E" w:rsidRDefault="00C5311D" w:rsidP="00612B1E">
      <w:pPr>
        <w:pStyle w:val="ListParagraph"/>
        <w:numPr>
          <w:ilvl w:val="1"/>
          <w:numId w:val="14"/>
        </w:numPr>
      </w:pPr>
      <w:r>
        <w:t xml:space="preserve">Any </w:t>
      </w:r>
      <w:r w:rsidR="006B42A9">
        <w:t xml:space="preserve">initial or </w:t>
      </w:r>
      <w:r>
        <w:t xml:space="preserve">follow-up </w:t>
      </w:r>
      <w:r w:rsidR="00612B1E" w:rsidRPr="00AB58A3">
        <w:t>investigation, analysis, monitoring</w:t>
      </w:r>
      <w:r w:rsidR="00C775DA">
        <w:t>,</w:t>
      </w:r>
      <w:r w:rsidR="00612B1E" w:rsidRPr="00AB58A3">
        <w:t xml:space="preserve"> </w:t>
      </w:r>
      <w:r>
        <w:t xml:space="preserve">or confirmation sampling </w:t>
      </w:r>
      <w:r w:rsidR="00612B1E" w:rsidRPr="00AB58A3">
        <w:t xml:space="preserve">of a </w:t>
      </w:r>
      <w:r w:rsidR="4D730B5E">
        <w:t>Brownfields</w:t>
      </w:r>
      <w:r w:rsidR="00612B1E" w:rsidRPr="00AB58A3">
        <w:t xml:space="preserve"> site to determine the existence and extent of actual or potential </w:t>
      </w:r>
      <w:r w:rsidR="00612B1E" w:rsidRPr="00E33D84">
        <w:t xml:space="preserve">hazardous substances, pollutants, or </w:t>
      </w:r>
      <w:r w:rsidR="00453F12" w:rsidRPr="00E33D84">
        <w:t>contaminants</w:t>
      </w:r>
      <w:r w:rsidR="00453F12" w:rsidRPr="00AB58A3">
        <w:t>.</w:t>
      </w:r>
      <w:r w:rsidR="00612B1E" w:rsidRPr="00AB58A3">
        <w:t xml:space="preserve"> </w:t>
      </w:r>
    </w:p>
    <w:p w14:paraId="7E9926F5" w14:textId="7B8927D2" w:rsidR="00C5311D" w:rsidRDefault="00C5311D" w:rsidP="00C5311D">
      <w:pPr>
        <w:pStyle w:val="ListParagraph"/>
        <w:numPr>
          <w:ilvl w:val="1"/>
          <w:numId w:val="14"/>
        </w:numPr>
      </w:pPr>
      <w:r>
        <w:t xml:space="preserve">The </w:t>
      </w:r>
      <w:r w:rsidRPr="00AB58A3">
        <w:t xml:space="preserve">abatement, removal, or containment of </w:t>
      </w:r>
      <w:r w:rsidRPr="00E33D84">
        <w:t>hazardous substances, pollutants, or contaminants</w:t>
      </w:r>
      <w:r w:rsidRPr="00AB58A3">
        <w:t xml:space="preserve"> at a </w:t>
      </w:r>
      <w:r w:rsidR="6CEA6610">
        <w:t>Brownfields</w:t>
      </w:r>
      <w:r w:rsidRPr="00AB58A3">
        <w:t xml:space="preserve"> site. </w:t>
      </w:r>
    </w:p>
    <w:p w14:paraId="7B9F0915" w14:textId="6FD58C5E" w:rsidR="00EE694F" w:rsidRDefault="00C775DA" w:rsidP="00C5311D">
      <w:pPr>
        <w:pStyle w:val="ListParagraph"/>
        <w:numPr>
          <w:ilvl w:val="1"/>
          <w:numId w:val="14"/>
        </w:numPr>
      </w:pPr>
      <w:r>
        <w:t>D</w:t>
      </w:r>
      <w:r w:rsidRPr="00C775DA">
        <w:t xml:space="preserve">emolition of structures, buildings, or other </w:t>
      </w:r>
      <w:r w:rsidR="00D43679">
        <w:t>features</w:t>
      </w:r>
      <w:r w:rsidRPr="00C775DA">
        <w:t xml:space="preserve"> </w:t>
      </w:r>
      <w:r w:rsidR="00EE694F" w:rsidRPr="00EE694F">
        <w:t xml:space="preserve">located on eligible sites that have already received Brownfields assessment </w:t>
      </w:r>
      <w:r w:rsidR="009D44AD">
        <w:t>and/</w:t>
      </w:r>
      <w:r w:rsidR="00EE694F" w:rsidRPr="00EE694F">
        <w:t>or cleanup assistance</w:t>
      </w:r>
      <w:r w:rsidR="005F7C5D">
        <w:t xml:space="preserve"> and which demolition is necessary </w:t>
      </w:r>
      <w:r w:rsidR="001D6536">
        <w:t>to the redevelopment planning</w:t>
      </w:r>
      <w:r w:rsidR="00EE694F" w:rsidRPr="00EE694F">
        <w:t>.</w:t>
      </w:r>
    </w:p>
    <w:p w14:paraId="2A24A130" w14:textId="77777777" w:rsidR="004B00C6" w:rsidRDefault="004B00C6" w:rsidP="0090065F">
      <w:pPr>
        <w:rPr>
          <w:i/>
          <w:iCs/>
          <w:sz w:val="24"/>
          <w:szCs w:val="24"/>
        </w:rPr>
      </w:pPr>
    </w:p>
    <w:p w14:paraId="76140665" w14:textId="58149F00" w:rsidR="00831F62" w:rsidRPr="00831F62" w:rsidRDefault="00831F62" w:rsidP="00440DB0">
      <w:pPr>
        <w:rPr>
          <w:i/>
          <w:iCs/>
          <w:sz w:val="24"/>
          <w:szCs w:val="24"/>
        </w:rPr>
      </w:pPr>
      <w:r w:rsidRPr="00831F62">
        <w:rPr>
          <w:i/>
          <w:iCs/>
          <w:sz w:val="24"/>
          <w:szCs w:val="24"/>
        </w:rPr>
        <w:lastRenderedPageBreak/>
        <w:t xml:space="preserve">Eligible </w:t>
      </w:r>
      <w:r>
        <w:rPr>
          <w:i/>
          <w:iCs/>
          <w:sz w:val="24"/>
          <w:szCs w:val="24"/>
        </w:rPr>
        <w:t>Sites</w:t>
      </w:r>
    </w:p>
    <w:p w14:paraId="0E8D93A4" w14:textId="3A65EB4D" w:rsidR="00537868" w:rsidRDefault="0010645F" w:rsidP="00537868">
      <w:r>
        <w:t xml:space="preserve">Brownfield sites are abandoned, idle, blighted, or underutilized property, for which the expansion, redevelopment, or reuse of may be complicated by the presence of hazardous substances, pollutants, or contaminants. </w:t>
      </w:r>
    </w:p>
    <w:p w14:paraId="5701B1B3" w14:textId="77777777" w:rsidR="00D170CF" w:rsidRPr="00AD6246" w:rsidRDefault="00D170CF" w:rsidP="1ECD4147">
      <w:r>
        <w:t xml:space="preserve">A Property must not be: </w:t>
      </w:r>
    </w:p>
    <w:p w14:paraId="770B0D92" w14:textId="070468F8" w:rsidR="00D170CF" w:rsidRPr="00AD6246" w:rsidRDefault="00D170CF" w:rsidP="1ECD4147">
      <w:pPr>
        <w:pStyle w:val="ListParagraph"/>
        <w:numPr>
          <w:ilvl w:val="0"/>
          <w:numId w:val="13"/>
        </w:numPr>
      </w:pPr>
      <w:r>
        <w:t>A property with facilities that have been issued or entered into a unilateral administrative order, a court order, an administrative order on consent, or judicial consent decree or to which a permit has been issued by the United States or an authorized state under RCRA, FWPCA, TSCA, or SDWA</w:t>
      </w:r>
    </w:p>
    <w:p w14:paraId="7E14894E" w14:textId="378EE68C" w:rsidR="00D170CF" w:rsidRPr="00AD6246" w:rsidRDefault="00D170CF" w:rsidP="1ECD4147">
      <w:pPr>
        <w:pStyle w:val="ListParagraph"/>
        <w:numPr>
          <w:ilvl w:val="0"/>
          <w:numId w:val="12"/>
        </w:numPr>
      </w:pPr>
      <w:r>
        <w:t>A property with facilities subject to RCRA corrective action (§ 3004(u) or § 3008(h)) to which a corrective action permit or order has been issued or modified to require the implementation of corrective measures;</w:t>
      </w:r>
    </w:p>
    <w:p w14:paraId="74E46B7F" w14:textId="07ED292F" w:rsidR="00D170CF" w:rsidRPr="00AD6246" w:rsidRDefault="00D170CF" w:rsidP="1ECD4147">
      <w:pPr>
        <w:pStyle w:val="ListParagraph"/>
        <w:numPr>
          <w:ilvl w:val="0"/>
          <w:numId w:val="11"/>
        </w:numPr>
      </w:pPr>
      <w:r>
        <w:t xml:space="preserve">A property that are land disposal units that have submitted a RCRA closure notification or that are subject to closure requirements specified in a closure plan or permit. </w:t>
      </w:r>
    </w:p>
    <w:p w14:paraId="79FCD235" w14:textId="7CB722A9" w:rsidR="00D170CF" w:rsidRPr="00AD6246" w:rsidRDefault="00D170CF" w:rsidP="1ECD4147">
      <w:pPr>
        <w:pStyle w:val="ListParagraph"/>
        <w:numPr>
          <w:ilvl w:val="0"/>
          <w:numId w:val="9"/>
        </w:numPr>
      </w:pPr>
      <w:r>
        <w:t xml:space="preserve">A property where there has been a release of PCBs and all or part of the property is subject to TSCA remediation; and </w:t>
      </w:r>
    </w:p>
    <w:p w14:paraId="73192AD2" w14:textId="4858B064" w:rsidR="00D170CF" w:rsidRPr="00AD6246" w:rsidRDefault="00D170CF" w:rsidP="1ECD4147">
      <w:pPr>
        <w:pStyle w:val="ListParagraph"/>
        <w:numPr>
          <w:ilvl w:val="0"/>
          <w:numId w:val="8"/>
        </w:numPr>
      </w:pPr>
      <w:r>
        <w:t>A property that includes facilities receiving monies for cleanup from the LUST Trust Fund.</w:t>
      </w:r>
    </w:p>
    <w:p w14:paraId="55812E08" w14:textId="772B2291" w:rsidR="00982ABC" w:rsidRDefault="00E0494D" w:rsidP="00982ABC">
      <w:r>
        <w:t xml:space="preserve">Sites where </w:t>
      </w:r>
      <w:r w:rsidR="004808E5">
        <w:t>petroleum contamination is the predominant contaminant</w:t>
      </w:r>
      <w:r w:rsidR="00982ABC">
        <w:t xml:space="preserve"> must also meet the following criteria: </w:t>
      </w:r>
    </w:p>
    <w:p w14:paraId="57CFB94E" w14:textId="77777777" w:rsidR="00982ABC" w:rsidRDefault="00982ABC" w:rsidP="00982ABC">
      <w:pPr>
        <w:pStyle w:val="ListParagraph"/>
        <w:numPr>
          <w:ilvl w:val="0"/>
          <w:numId w:val="14"/>
        </w:numPr>
      </w:pPr>
      <w:r>
        <w:t>Have no viable responsible party – DEQ will determine first, whether a responsible party (RP)exists, if one does exist, DEQ determines whether the RP is financially viable to conduct the necessary environmental work.</w:t>
      </w:r>
    </w:p>
    <w:p w14:paraId="5704BB5A" w14:textId="77777777" w:rsidR="00982ABC" w:rsidRPr="008C5EDC" w:rsidRDefault="00982ABC" w:rsidP="00982ABC">
      <w:pPr>
        <w:pStyle w:val="ListParagraph"/>
        <w:numPr>
          <w:ilvl w:val="0"/>
          <w:numId w:val="14"/>
        </w:numPr>
      </w:pPr>
      <w:r>
        <w:t xml:space="preserve">Generally, DEQ will consider ongoing businesses or companies (corporations, LLCs, partnerships, etc.) and government entities to be viable. DEQ will </w:t>
      </w:r>
      <w:r w:rsidRPr="0079246B">
        <w:t>generally deem a defunct or insolvent company and an individual responsible party to be not viable.</w:t>
      </w:r>
      <w:r w:rsidRPr="0079246B">
        <w:rPr>
          <w:rFonts w:ascii="Helvetica" w:hAnsi="Helvetica" w:cs="Helvetica"/>
          <w:color w:val="1B1B1B"/>
          <w:sz w:val="25"/>
          <w:szCs w:val="25"/>
          <w:shd w:val="clear" w:color="auto" w:fill="FFFFFF"/>
        </w:rPr>
        <w:t xml:space="preserve"> </w:t>
      </w:r>
      <w:r>
        <w:t>DEQ w</w:t>
      </w:r>
      <w:r w:rsidRPr="0079246B">
        <w:t>ill apply these assumptions</w:t>
      </w:r>
      <w:r>
        <w:t xml:space="preserve"> </w:t>
      </w:r>
      <w:r w:rsidRPr="0079246B">
        <w:t>unless there is information suggesting that the assumption is not appropriate in a particular case (e.g., if there is information that an individual has adequate financial resources to address contamination at a site, or if there is information indicating an ongoing business is not, in fact, viable). </w:t>
      </w:r>
      <w:r w:rsidRPr="00012026">
        <w:t xml:space="preserve">An applicant/recipient should indicate if one of the above assumptions applies and provide support for the assertion. In circumstances not covered by one of the above assumptions, the applicant/recipient should explain why the </w:t>
      </w:r>
      <w:r w:rsidRPr="008C5EDC">
        <w:t>responsible party is not viable.</w:t>
      </w:r>
    </w:p>
    <w:p w14:paraId="464E1170" w14:textId="70402F0A" w:rsidR="004E3059" w:rsidRPr="008C5EDC" w:rsidRDefault="3C4998E4" w:rsidP="40FA3D7D">
      <w:pPr>
        <w:shd w:val="clear" w:color="auto" w:fill="FFFFFF" w:themeFill="background1"/>
        <w:spacing w:before="100" w:beforeAutospacing="1" w:after="100" w:afterAutospacing="1" w:line="240" w:lineRule="auto"/>
        <w:rPr>
          <w:rFonts w:eastAsia="Times New Roman" w:cs="Helvetica"/>
          <w:color w:val="1B1B1B"/>
        </w:rPr>
      </w:pPr>
      <w:r w:rsidRPr="40FA3D7D">
        <w:rPr>
          <w:rFonts w:eastAsia="Times New Roman" w:cs="Helvetica"/>
          <w:color w:val="1B1B1B"/>
        </w:rPr>
        <w:t xml:space="preserve"> </w:t>
      </w:r>
      <w:r w:rsidRPr="00847A52">
        <w:rPr>
          <w:rFonts w:eastAsia="Times New Roman" w:cs="Helvetica"/>
          <w:color w:val="1B1B1B"/>
        </w:rPr>
        <w:t>If the owner disagrees with DEQ’s general determination of viability, they can provide or may be asked to provide the following</w:t>
      </w:r>
      <w:r w:rsidR="00847A52">
        <w:rPr>
          <w:rFonts w:eastAsia="Times New Roman" w:cs="Helvetica"/>
          <w:color w:val="1B1B1B"/>
        </w:rPr>
        <w:t>:</w:t>
      </w:r>
    </w:p>
    <w:p w14:paraId="353EC7C8" w14:textId="45C40CB6" w:rsidR="004E3059" w:rsidRPr="008C5EDC" w:rsidRDefault="004E3059" w:rsidP="004E3059">
      <w:pPr>
        <w:numPr>
          <w:ilvl w:val="0"/>
          <w:numId w:val="14"/>
        </w:numPr>
        <w:shd w:val="clear" w:color="auto" w:fill="FFFFFF"/>
        <w:spacing w:before="100" w:beforeAutospacing="1" w:after="60" w:line="240" w:lineRule="auto"/>
        <w:rPr>
          <w:rFonts w:eastAsia="Times New Roman" w:cs="Helvetica"/>
          <w:color w:val="1B1B1B"/>
        </w:rPr>
      </w:pPr>
      <w:r w:rsidRPr="008C5EDC">
        <w:rPr>
          <w:rFonts w:eastAsia="Times New Roman" w:cs="Helvetica"/>
          <w:b/>
          <w:bCs/>
          <w:color w:val="1B1B1B"/>
        </w:rPr>
        <w:t>Responsible Party</w:t>
      </w:r>
      <w:r w:rsidRPr="008C5EDC">
        <w:rPr>
          <w:rFonts w:eastAsia="Times New Roman" w:cs="Helvetica"/>
          <w:color w:val="1B1B1B"/>
        </w:rPr>
        <w:t xml:space="preserve">: the responsible party </w:t>
      </w:r>
      <w:r>
        <w:rPr>
          <w:rFonts w:eastAsia="Times New Roman" w:cs="Helvetica"/>
          <w:color w:val="1B1B1B"/>
        </w:rPr>
        <w:t xml:space="preserve">could be asked to provide </w:t>
      </w:r>
      <w:r w:rsidRPr="008C5EDC">
        <w:rPr>
          <w:rFonts w:eastAsia="Times New Roman" w:cs="Helvetica"/>
          <w:color w:val="1B1B1B"/>
        </w:rPr>
        <w:t xml:space="preserve">financial information (tax returns, bank statements, financial statements, insurance policies designed to address environmental liabilities, etc.), especially if the responsible party is still associated with the site or is the applicant/recipient, and, therefore, will receive the benefit of the </w:t>
      </w:r>
      <w:r>
        <w:rPr>
          <w:rFonts w:eastAsia="Times New Roman" w:cs="Helvetica"/>
          <w:color w:val="1B1B1B"/>
        </w:rPr>
        <w:t>funding</w:t>
      </w:r>
      <w:r w:rsidRPr="008C5EDC">
        <w:rPr>
          <w:rFonts w:eastAsia="Times New Roman" w:cs="Helvetica"/>
          <w:color w:val="1B1B1B"/>
        </w:rPr>
        <w:t xml:space="preserve">. An applicant/recipient that is a responsible party and claiming it is not viable </w:t>
      </w:r>
      <w:r w:rsidRPr="008C5EDC">
        <w:rPr>
          <w:rFonts w:eastAsia="Times New Roman" w:cs="Helvetica"/>
          <w:color w:val="1B1B1B"/>
        </w:rPr>
        <w:lastRenderedPageBreak/>
        <w:t>should provide conclusive information, such as an INDIPAY or MUNIPAY analysis, on its inability to pay for the assessment or cleanup.</w:t>
      </w:r>
    </w:p>
    <w:p w14:paraId="4483254A" w14:textId="0D2875F7" w:rsidR="004E3059" w:rsidRPr="008C5EDC" w:rsidRDefault="004E3059" w:rsidP="004E3059">
      <w:pPr>
        <w:numPr>
          <w:ilvl w:val="0"/>
          <w:numId w:val="14"/>
        </w:numPr>
        <w:shd w:val="clear" w:color="auto" w:fill="FFFFFF"/>
        <w:spacing w:before="100" w:beforeAutospacing="1" w:after="60" w:line="240" w:lineRule="auto"/>
        <w:rPr>
          <w:rFonts w:eastAsia="Times New Roman" w:cs="Helvetica"/>
          <w:color w:val="1B1B1B"/>
        </w:rPr>
      </w:pPr>
      <w:r w:rsidRPr="008C5EDC">
        <w:rPr>
          <w:rFonts w:eastAsia="Times New Roman" w:cs="Helvetica"/>
          <w:b/>
          <w:bCs/>
          <w:color w:val="1B1B1B"/>
        </w:rPr>
        <w:t>Federal, State, and Local Records</w:t>
      </w:r>
      <w:r w:rsidRPr="008C5EDC">
        <w:rPr>
          <w:rFonts w:eastAsia="Times New Roman" w:cs="Helvetica"/>
          <w:color w:val="1B1B1B"/>
        </w:rPr>
        <w:t xml:space="preserve">: Federal, state, and local (i.e., county and city) records often provide information on the status of a business. </w:t>
      </w:r>
      <w:r>
        <w:rPr>
          <w:rFonts w:eastAsia="Times New Roman" w:cs="Helvetica"/>
          <w:color w:val="1B1B1B"/>
        </w:rPr>
        <w:t>These records can be</w:t>
      </w:r>
      <w:r w:rsidRPr="008C5EDC">
        <w:rPr>
          <w:rFonts w:eastAsia="Times New Roman" w:cs="Helvetica"/>
          <w:color w:val="1B1B1B"/>
        </w:rPr>
        <w:t xml:space="preserve"> search</w:t>
      </w:r>
      <w:r>
        <w:rPr>
          <w:rFonts w:eastAsia="Times New Roman" w:cs="Helvetica"/>
          <w:color w:val="1B1B1B"/>
        </w:rPr>
        <w:t>ed</w:t>
      </w:r>
      <w:r w:rsidRPr="008C5EDC">
        <w:rPr>
          <w:rFonts w:eastAsia="Times New Roman" w:cs="Helvetica"/>
          <w:color w:val="1B1B1B"/>
        </w:rPr>
        <w:t xml:space="preserve"> for information on </w:t>
      </w:r>
      <w:r>
        <w:rPr>
          <w:rFonts w:eastAsia="Times New Roman" w:cs="Helvetica"/>
          <w:color w:val="1B1B1B"/>
        </w:rPr>
        <w:t>the viability of a</w:t>
      </w:r>
      <w:r w:rsidRPr="008C5EDC">
        <w:rPr>
          <w:rFonts w:eastAsia="Times New Roman" w:cs="Helvetica"/>
          <w:color w:val="1B1B1B"/>
        </w:rPr>
        <w:t xml:space="preserve"> responsible party. Examples of such resources include regulatory records (e.g., state hazardous waste records), Secretary of State databases, and property/land records.</w:t>
      </w:r>
    </w:p>
    <w:p w14:paraId="3EE37B82" w14:textId="77777777" w:rsidR="004E3059" w:rsidRPr="008C5EDC" w:rsidRDefault="004E3059" w:rsidP="004E3059">
      <w:pPr>
        <w:numPr>
          <w:ilvl w:val="0"/>
          <w:numId w:val="14"/>
        </w:numPr>
        <w:shd w:val="clear" w:color="auto" w:fill="FFFFFF"/>
        <w:spacing w:before="100" w:beforeAutospacing="1" w:after="0" w:line="240" w:lineRule="auto"/>
        <w:rPr>
          <w:rFonts w:eastAsia="Times New Roman" w:cs="Helvetica"/>
          <w:color w:val="1B1B1B"/>
        </w:rPr>
      </w:pPr>
      <w:r w:rsidRPr="008C5EDC">
        <w:rPr>
          <w:rFonts w:eastAsia="Times New Roman" w:cs="Helvetica"/>
          <w:b/>
          <w:bCs/>
          <w:color w:val="1B1B1B"/>
        </w:rPr>
        <w:t>Public and Commercial Financial Databases</w:t>
      </w:r>
      <w:r w:rsidRPr="008C5EDC">
        <w:rPr>
          <w:rFonts w:eastAsia="Times New Roman" w:cs="Helvetica"/>
          <w:color w:val="1B1B1B"/>
        </w:rPr>
        <w:t xml:space="preserve">: Applicants/recipients also may obtain </w:t>
      </w:r>
      <w:r>
        <w:rPr>
          <w:rFonts w:eastAsia="Times New Roman" w:cs="Helvetica"/>
          <w:color w:val="1B1B1B"/>
        </w:rPr>
        <w:t xml:space="preserve">and provide </w:t>
      </w:r>
      <w:r w:rsidRPr="008C5EDC">
        <w:rPr>
          <w:rFonts w:eastAsia="Times New Roman" w:cs="Helvetica"/>
          <w:color w:val="1B1B1B"/>
        </w:rPr>
        <w:t xml:space="preserve">financial data from publicly available and commercial sources. Listed below are examples of sources for financial data. Please note that some commercial sources may charge fees. </w:t>
      </w:r>
      <w:r>
        <w:rPr>
          <w:rFonts w:eastAsia="Times New Roman" w:cs="Helvetica"/>
          <w:color w:val="1B1B1B"/>
        </w:rPr>
        <w:t>DEQ</w:t>
      </w:r>
      <w:r w:rsidRPr="008C5EDC">
        <w:rPr>
          <w:rFonts w:eastAsia="Times New Roman" w:cs="Helvetica"/>
          <w:color w:val="1B1B1B"/>
        </w:rPr>
        <w:t xml:space="preserve"> does not endorse the use of any specific sources, and </w:t>
      </w:r>
      <w:r>
        <w:rPr>
          <w:rFonts w:eastAsia="Times New Roman" w:cs="Helvetica"/>
          <w:color w:val="1B1B1B"/>
        </w:rPr>
        <w:t>DEQ</w:t>
      </w:r>
      <w:r w:rsidRPr="008C5EDC">
        <w:rPr>
          <w:rFonts w:eastAsia="Times New Roman" w:cs="Helvetica"/>
          <w:color w:val="1B1B1B"/>
        </w:rPr>
        <w:t xml:space="preserve"> will accept reliable data from other sources as part of a</w:t>
      </w:r>
      <w:r>
        <w:rPr>
          <w:rFonts w:eastAsia="Times New Roman" w:cs="Helvetica"/>
          <w:color w:val="1B1B1B"/>
        </w:rPr>
        <w:t>n application</w:t>
      </w:r>
      <w:r w:rsidRPr="008C5EDC">
        <w:rPr>
          <w:rFonts w:eastAsia="Times New Roman" w:cs="Helvetica"/>
          <w:color w:val="1B1B1B"/>
        </w:rPr>
        <w:t xml:space="preserve"> for funding.</w:t>
      </w:r>
    </w:p>
    <w:p w14:paraId="38060138" w14:textId="77777777" w:rsidR="004E3059" w:rsidRDefault="004E3059" w:rsidP="004E3059">
      <w:pPr>
        <w:pStyle w:val="ListParagraph"/>
      </w:pPr>
    </w:p>
    <w:p w14:paraId="596996C3" w14:textId="77777777" w:rsidR="004E3059" w:rsidRDefault="004E3059" w:rsidP="004E3059">
      <w:pPr>
        <w:pStyle w:val="ListParagraph"/>
      </w:pPr>
      <w:r w:rsidRPr="00887969">
        <w:t>Examples of sources: Lexis/Nexus, Dun &amp; Bradstreet reports, Hoover’s Business Information, Edgar Database of Corporate Information, Thomas Register of American Manufacturers, The Public Register, Corporate Annual Reports, Internet search engines (e.g. Google, Ask).</w:t>
      </w:r>
    </w:p>
    <w:p w14:paraId="341E0D62" w14:textId="77777777" w:rsidR="006C2A22" w:rsidRDefault="006C2A22" w:rsidP="00F01719"/>
    <w:p w14:paraId="56AE5924" w14:textId="5194FAE9" w:rsidR="0047111B" w:rsidRPr="00071E6B" w:rsidRDefault="00500E55" w:rsidP="00071E6B">
      <w:pPr>
        <w:pStyle w:val="Heading1"/>
        <w:rPr>
          <w:b/>
          <w:bCs/>
          <w:color w:val="auto"/>
          <w:sz w:val="26"/>
          <w:szCs w:val="26"/>
        </w:rPr>
      </w:pPr>
      <w:bookmarkStart w:id="3" w:name="_Toc211003036"/>
      <w:r>
        <w:rPr>
          <w:b/>
          <w:bCs/>
          <w:color w:val="auto"/>
          <w:sz w:val="26"/>
          <w:szCs w:val="26"/>
        </w:rPr>
        <w:t>4</w:t>
      </w:r>
      <w:r w:rsidR="00BA390F" w:rsidRPr="00071E6B">
        <w:rPr>
          <w:b/>
          <w:bCs/>
          <w:color w:val="auto"/>
          <w:sz w:val="26"/>
          <w:szCs w:val="26"/>
        </w:rPr>
        <w:t xml:space="preserve">.0 </w:t>
      </w:r>
      <w:r w:rsidR="0047111B" w:rsidRPr="00071E6B">
        <w:rPr>
          <w:b/>
          <w:bCs/>
          <w:color w:val="auto"/>
          <w:sz w:val="26"/>
          <w:szCs w:val="26"/>
        </w:rPr>
        <w:t>Application Process:</w:t>
      </w:r>
      <w:bookmarkEnd w:id="3"/>
      <w:r w:rsidR="0047111B" w:rsidRPr="00071E6B">
        <w:rPr>
          <w:b/>
          <w:bCs/>
          <w:color w:val="auto"/>
          <w:sz w:val="26"/>
          <w:szCs w:val="26"/>
        </w:rPr>
        <w:t xml:space="preserve"> </w:t>
      </w:r>
    </w:p>
    <w:p w14:paraId="157B6502" w14:textId="7EC82CBD" w:rsidR="0047111B" w:rsidRDefault="0047111B" w:rsidP="00F01719">
      <w:r>
        <w:t xml:space="preserve">One of the </w:t>
      </w:r>
      <w:r w:rsidR="00CB7288">
        <w:t>5</w:t>
      </w:r>
      <w:r>
        <w:t xml:space="preserve"> </w:t>
      </w:r>
      <w:r w:rsidR="00E034D9">
        <w:t xml:space="preserve">eligible </w:t>
      </w:r>
      <w:r>
        <w:t xml:space="preserve">entities </w:t>
      </w:r>
      <w:r w:rsidR="00CE7C95">
        <w:t xml:space="preserve">will </w:t>
      </w:r>
      <w:r>
        <w:t xml:space="preserve">fill out a </w:t>
      </w:r>
      <w:r w:rsidR="00CB7288">
        <w:t>Montana Targeted Brownfields Assessment application</w:t>
      </w:r>
      <w:r>
        <w:t xml:space="preserve"> and submit to </w:t>
      </w:r>
      <w:r w:rsidR="003F76E9">
        <w:t xml:space="preserve">the DEQ </w:t>
      </w:r>
      <w:r>
        <w:t xml:space="preserve">Brownfields program </w:t>
      </w:r>
      <w:r w:rsidR="00B024C4">
        <w:t xml:space="preserve">via </w:t>
      </w:r>
      <w:r>
        <w:t>email</w:t>
      </w:r>
      <w:r w:rsidR="004E3059">
        <w:t xml:space="preserve"> </w:t>
      </w:r>
      <w:hyperlink r:id="rId9" w:history="1">
        <w:r w:rsidR="00A80B8E" w:rsidRPr="00822A42">
          <w:rPr>
            <w:rStyle w:val="Hyperlink"/>
          </w:rPr>
          <w:t>DEQ.Brownfields@mt.gov</w:t>
        </w:r>
      </w:hyperlink>
      <w:r w:rsidR="00736AC4">
        <w:t>.</w:t>
      </w:r>
    </w:p>
    <w:p w14:paraId="37C65D12" w14:textId="0AF0C5B7" w:rsidR="00DA7EF8" w:rsidRDefault="00DA7EF8" w:rsidP="00F01719">
      <w:r>
        <w:t>Application</w:t>
      </w:r>
      <w:r w:rsidR="00EF383A">
        <w:t>s</w:t>
      </w:r>
      <w:r>
        <w:t xml:space="preserve"> </w:t>
      </w:r>
      <w:r w:rsidR="00EF383A">
        <w:t>will</w:t>
      </w:r>
      <w:r w:rsidR="00A80B8E">
        <w:t xml:space="preserve"> </w:t>
      </w:r>
      <w:r>
        <w:t xml:space="preserve">include </w:t>
      </w:r>
      <w:r w:rsidR="00EF383A">
        <w:t xml:space="preserve">questions regarding the </w:t>
      </w:r>
      <w:r>
        <w:t xml:space="preserve">redevelopment plan </w:t>
      </w:r>
      <w:r w:rsidR="00EF383A">
        <w:t>including</w:t>
      </w:r>
      <w:r>
        <w:t xml:space="preserve">: </w:t>
      </w:r>
    </w:p>
    <w:p w14:paraId="58CF6BB8" w14:textId="5E47A8D2" w:rsidR="00DA7EF8" w:rsidRDefault="00DA7EF8" w:rsidP="00DA7EF8">
      <w:pPr>
        <w:pStyle w:val="ListParagraph"/>
        <w:numPr>
          <w:ilvl w:val="0"/>
          <w:numId w:val="14"/>
        </w:numPr>
      </w:pPr>
      <w:r>
        <w:t>Timeline</w:t>
      </w:r>
    </w:p>
    <w:p w14:paraId="4A3E502E" w14:textId="5F6C7299" w:rsidR="00DA7EF8" w:rsidRDefault="00213403" w:rsidP="00DA7EF8">
      <w:pPr>
        <w:pStyle w:val="ListParagraph"/>
        <w:numPr>
          <w:ilvl w:val="0"/>
          <w:numId w:val="14"/>
        </w:numPr>
      </w:pPr>
      <w:r>
        <w:t xml:space="preserve">Future use </w:t>
      </w:r>
    </w:p>
    <w:p w14:paraId="6900214E" w14:textId="7C311C1B" w:rsidR="00213403" w:rsidRDefault="00213403" w:rsidP="00DA7EF8">
      <w:pPr>
        <w:pStyle w:val="ListParagraph"/>
        <w:numPr>
          <w:ilvl w:val="0"/>
          <w:numId w:val="14"/>
        </w:numPr>
      </w:pPr>
      <w:r>
        <w:t>Anticipated number jobs</w:t>
      </w:r>
    </w:p>
    <w:p w14:paraId="221627D5" w14:textId="367A9BE8" w:rsidR="00213403" w:rsidRDefault="00213403" w:rsidP="00DA7EF8">
      <w:pPr>
        <w:pStyle w:val="ListParagraph"/>
        <w:numPr>
          <w:ilvl w:val="0"/>
          <w:numId w:val="14"/>
        </w:numPr>
      </w:pPr>
      <w:r>
        <w:t xml:space="preserve">Dollars leveraged </w:t>
      </w:r>
    </w:p>
    <w:p w14:paraId="6325A5D2" w14:textId="31C68452" w:rsidR="008643F5" w:rsidRDefault="00CE7C95" w:rsidP="00DA7EF8">
      <w:pPr>
        <w:pStyle w:val="ListParagraph"/>
        <w:numPr>
          <w:ilvl w:val="0"/>
          <w:numId w:val="14"/>
        </w:numPr>
      </w:pPr>
      <w:r>
        <w:t>Other community benefits (where appropriate)</w:t>
      </w:r>
    </w:p>
    <w:p w14:paraId="70994CB9" w14:textId="279DC5FD" w:rsidR="0047111B" w:rsidRDefault="0047111B" w:rsidP="00F01719">
      <w:r>
        <w:t xml:space="preserve">The DEQ Brownfields team </w:t>
      </w:r>
      <w:r w:rsidR="003F76E9">
        <w:t xml:space="preserve">will </w:t>
      </w:r>
      <w:r>
        <w:t xml:space="preserve">review the applications on a </w:t>
      </w:r>
      <w:r w:rsidR="002F5B0C">
        <w:t xml:space="preserve">rolling </w:t>
      </w:r>
      <w:r>
        <w:t xml:space="preserve">monthly basis until all funding has been allocated for that fiscal year. </w:t>
      </w:r>
    </w:p>
    <w:p w14:paraId="57E1C5DB" w14:textId="77777777" w:rsidR="00EF383A" w:rsidRDefault="00EF383A" w:rsidP="00071E6B">
      <w:pPr>
        <w:pStyle w:val="Heading1"/>
        <w:rPr>
          <w:b/>
          <w:bCs/>
          <w:color w:val="auto"/>
          <w:sz w:val="26"/>
          <w:szCs w:val="26"/>
        </w:rPr>
      </w:pPr>
    </w:p>
    <w:p w14:paraId="6ED61B04" w14:textId="0E9A7E09" w:rsidR="001A5598" w:rsidRPr="00071E6B" w:rsidRDefault="00500E55" w:rsidP="00071E6B">
      <w:pPr>
        <w:pStyle w:val="Heading1"/>
        <w:rPr>
          <w:b/>
          <w:bCs/>
          <w:color w:val="auto"/>
          <w:sz w:val="26"/>
          <w:szCs w:val="26"/>
        </w:rPr>
      </w:pPr>
      <w:bookmarkStart w:id="4" w:name="_Toc211003037"/>
      <w:r w:rsidRPr="40FA3D7D">
        <w:rPr>
          <w:b/>
          <w:bCs/>
          <w:color w:val="auto"/>
          <w:sz w:val="26"/>
          <w:szCs w:val="26"/>
        </w:rPr>
        <w:t>5</w:t>
      </w:r>
      <w:r w:rsidR="00BA390F" w:rsidRPr="40FA3D7D">
        <w:rPr>
          <w:b/>
          <w:bCs/>
          <w:color w:val="auto"/>
          <w:sz w:val="26"/>
          <w:szCs w:val="26"/>
        </w:rPr>
        <w:t xml:space="preserve">.0 </w:t>
      </w:r>
      <w:r w:rsidR="001A5598" w:rsidRPr="40FA3D7D">
        <w:rPr>
          <w:b/>
          <w:bCs/>
          <w:color w:val="auto"/>
          <w:sz w:val="26"/>
          <w:szCs w:val="26"/>
        </w:rPr>
        <w:t>Prioritization</w:t>
      </w:r>
      <w:r w:rsidR="00A13BC7" w:rsidRPr="40FA3D7D">
        <w:rPr>
          <w:b/>
          <w:bCs/>
          <w:color w:val="auto"/>
          <w:sz w:val="26"/>
          <w:szCs w:val="26"/>
        </w:rPr>
        <w:t xml:space="preserve"> for</w:t>
      </w:r>
      <w:r w:rsidR="002C6E1B">
        <w:rPr>
          <w:b/>
          <w:bCs/>
          <w:color w:val="auto"/>
          <w:sz w:val="26"/>
          <w:szCs w:val="26"/>
        </w:rPr>
        <w:t xml:space="preserve"> </w:t>
      </w:r>
      <w:r w:rsidR="00A13BC7" w:rsidRPr="40FA3D7D">
        <w:rPr>
          <w:b/>
          <w:bCs/>
          <w:color w:val="auto"/>
          <w:sz w:val="26"/>
          <w:szCs w:val="26"/>
        </w:rPr>
        <w:t>State Assistance</w:t>
      </w:r>
      <w:bookmarkEnd w:id="4"/>
    </w:p>
    <w:p w14:paraId="0209D397" w14:textId="0C54C376" w:rsidR="40FA3D7D" w:rsidRPr="00D65726" w:rsidRDefault="40FA3D7D" w:rsidP="00D65726"/>
    <w:p w14:paraId="511BD1FC" w14:textId="1A27207E" w:rsidR="3E4411D1" w:rsidRDefault="3E4411D1" w:rsidP="00D65726">
      <w:pPr>
        <w:pStyle w:val="ListParagraph"/>
        <w:numPr>
          <w:ilvl w:val="0"/>
          <w:numId w:val="14"/>
        </w:numPr>
      </w:pPr>
      <w:r>
        <w:t>The DEQ Brownfields Program will make up the application review committee which includes, 3 project officers representing the 3 Brownfields Regions across the state and the Program Supervisor.</w:t>
      </w:r>
    </w:p>
    <w:p w14:paraId="0A21B3CB" w14:textId="7DD4565B" w:rsidR="3E4411D1" w:rsidRDefault="3E4411D1" w:rsidP="40FA3D7D">
      <w:pPr>
        <w:pStyle w:val="ListParagraph"/>
        <w:numPr>
          <w:ilvl w:val="0"/>
          <w:numId w:val="14"/>
        </w:numPr>
      </w:pPr>
      <w:r>
        <w:t>An eligibility letter will be sent to each applicant within 30 days of the review process.</w:t>
      </w:r>
    </w:p>
    <w:p w14:paraId="57D1EE37" w14:textId="6F5E9A86" w:rsidR="3E4411D1" w:rsidRPr="0064699B" w:rsidRDefault="3E4411D1" w:rsidP="628D7790">
      <w:pPr>
        <w:pStyle w:val="ListParagraph"/>
        <w:numPr>
          <w:ilvl w:val="0"/>
          <w:numId w:val="14"/>
        </w:numPr>
      </w:pPr>
      <w:r>
        <w:lastRenderedPageBreak/>
        <w:t xml:space="preserve">Applications will be reviewed and approved on a </w:t>
      </w:r>
      <w:r w:rsidRPr="0064699B">
        <w:rPr>
          <w:b/>
          <w:bCs/>
        </w:rPr>
        <w:t>first come first serve basis</w:t>
      </w:r>
      <w:r w:rsidR="034071D9" w:rsidRPr="0064699B">
        <w:rPr>
          <w:b/>
          <w:bCs/>
        </w:rPr>
        <w:t xml:space="preserve"> and availability of funds</w:t>
      </w:r>
      <w:r w:rsidRPr="0064699B">
        <w:t>.</w:t>
      </w:r>
    </w:p>
    <w:p w14:paraId="7404F15E" w14:textId="7802658F" w:rsidR="40FA3D7D" w:rsidRPr="00D65726" w:rsidRDefault="40FA3D7D" w:rsidP="40FA3D7D"/>
    <w:p w14:paraId="4DA62CD8" w14:textId="47A6D111" w:rsidR="00640375" w:rsidRPr="00B95EB2" w:rsidRDefault="00640375" w:rsidP="628D7790">
      <w:pPr>
        <w:rPr>
          <w:i/>
          <w:iCs/>
        </w:rPr>
      </w:pPr>
      <w:r w:rsidRPr="628D7790">
        <w:rPr>
          <w:i/>
          <w:iCs/>
        </w:rPr>
        <w:t xml:space="preserve">The following </w:t>
      </w:r>
      <w:r w:rsidR="58960DFA" w:rsidRPr="628D7790">
        <w:rPr>
          <w:i/>
          <w:iCs/>
        </w:rPr>
        <w:t xml:space="preserve">will be </w:t>
      </w:r>
      <w:r w:rsidRPr="628D7790">
        <w:rPr>
          <w:i/>
          <w:iCs/>
        </w:rPr>
        <w:t>consider</w:t>
      </w:r>
      <w:r w:rsidR="6C8AA7A5" w:rsidRPr="628D7790">
        <w:rPr>
          <w:i/>
          <w:iCs/>
        </w:rPr>
        <w:t>ed</w:t>
      </w:r>
      <w:r w:rsidRPr="628D7790">
        <w:rPr>
          <w:i/>
          <w:iCs/>
        </w:rPr>
        <w:t xml:space="preserve"> </w:t>
      </w:r>
      <w:r w:rsidR="00B95EB2" w:rsidRPr="628D7790">
        <w:rPr>
          <w:i/>
          <w:iCs/>
        </w:rPr>
        <w:t>when determining funding allocation:</w:t>
      </w:r>
    </w:p>
    <w:p w14:paraId="334142D2" w14:textId="718E3DEC" w:rsidR="001A5598" w:rsidRDefault="001A5598" w:rsidP="001A5598">
      <w:pPr>
        <w:pStyle w:val="ListParagraph"/>
        <w:numPr>
          <w:ilvl w:val="0"/>
          <w:numId w:val="14"/>
        </w:numPr>
      </w:pPr>
      <w:r>
        <w:t xml:space="preserve">Communities not </w:t>
      </w:r>
      <w:r w:rsidR="000927AB">
        <w:t xml:space="preserve">currently supported by local or </w:t>
      </w:r>
      <w:r>
        <w:t>Federal Brownfields funding</w:t>
      </w:r>
      <w:r w:rsidR="00C2306A">
        <w:t xml:space="preserve"> </w:t>
      </w:r>
      <w:r w:rsidR="00A076D3">
        <w:t>will be prioritized</w:t>
      </w:r>
    </w:p>
    <w:p w14:paraId="2F63CF5D" w14:textId="0B70514E" w:rsidR="00F1394F" w:rsidRDefault="00F1394F" w:rsidP="40FA3D7D">
      <w:pPr>
        <w:pStyle w:val="ListParagraph"/>
        <w:numPr>
          <w:ilvl w:val="0"/>
          <w:numId w:val="14"/>
        </w:numPr>
      </w:pPr>
      <w:r>
        <w:t xml:space="preserve">Sites </w:t>
      </w:r>
      <w:r w:rsidR="00A12E17">
        <w:t xml:space="preserve">where </w:t>
      </w:r>
      <w:r w:rsidR="002651C9">
        <w:t>F</w:t>
      </w:r>
      <w:r w:rsidR="00A12E17">
        <w:t xml:space="preserve">ederal </w:t>
      </w:r>
      <w:r w:rsidR="002651C9">
        <w:t>B</w:t>
      </w:r>
      <w:r w:rsidR="00A12E17">
        <w:t xml:space="preserve">rownfields funds cannot address all </w:t>
      </w:r>
      <w:r w:rsidR="00120543">
        <w:t xml:space="preserve">the </w:t>
      </w:r>
      <w:r w:rsidR="0002272E">
        <w:t xml:space="preserve">assessment, cleanup or </w:t>
      </w:r>
      <w:r w:rsidR="00120543">
        <w:t xml:space="preserve">redevelopment </w:t>
      </w:r>
      <w:r w:rsidR="00A12E17">
        <w:t>needs</w:t>
      </w:r>
    </w:p>
    <w:p w14:paraId="3BA367F7" w14:textId="20CF54F9" w:rsidR="00C4763C" w:rsidRDefault="001E3DA3" w:rsidP="40FA3D7D">
      <w:pPr>
        <w:pStyle w:val="ListParagraph"/>
        <w:numPr>
          <w:ilvl w:val="0"/>
          <w:numId w:val="14"/>
        </w:numPr>
      </w:pPr>
      <w:r>
        <w:t xml:space="preserve">Sites </w:t>
      </w:r>
      <w:r w:rsidR="009E05D5">
        <w:t>with r</w:t>
      </w:r>
      <w:r w:rsidR="00C4763C">
        <w:t>edevelopment plan</w:t>
      </w:r>
      <w:r w:rsidR="009E05D5">
        <w:t>s</w:t>
      </w:r>
      <w:r w:rsidR="00C4763C">
        <w:t xml:space="preserve"> </w:t>
      </w:r>
      <w:r w:rsidR="009E05D5">
        <w:t xml:space="preserve">and financing </w:t>
      </w:r>
      <w:r w:rsidR="00C4763C">
        <w:t>in place</w:t>
      </w:r>
      <w:r w:rsidR="006411DB">
        <w:t xml:space="preserve"> </w:t>
      </w:r>
      <w:r w:rsidR="0E8B0E77">
        <w:t xml:space="preserve">will </w:t>
      </w:r>
      <w:r w:rsidR="08BDC317">
        <w:t>be prioritized over sites without redevelopment plans and financing in place.</w:t>
      </w:r>
    </w:p>
    <w:p w14:paraId="7334F3CA" w14:textId="1DC699D2" w:rsidR="00C4763C" w:rsidRDefault="00B74940" w:rsidP="00C4763C">
      <w:pPr>
        <w:pStyle w:val="ListParagraph"/>
        <w:numPr>
          <w:ilvl w:val="0"/>
          <w:numId w:val="14"/>
        </w:numPr>
      </w:pPr>
      <w:r>
        <w:t>Site</w:t>
      </w:r>
      <w:r w:rsidR="00064CC6">
        <w:t>s</w:t>
      </w:r>
      <w:r>
        <w:t xml:space="preserve"> providing an economic</w:t>
      </w:r>
      <w:r w:rsidR="03220BBB">
        <w:t xml:space="preserve"> </w:t>
      </w:r>
      <w:r w:rsidR="16060FA0">
        <w:t>benefit to</w:t>
      </w:r>
      <w:r>
        <w:t xml:space="preserve"> </w:t>
      </w:r>
      <w:r w:rsidR="00C4763C">
        <w:t>the area by providing housing, jobs, public services</w:t>
      </w:r>
      <w:r w:rsidR="7B31A00F">
        <w:t>,</w:t>
      </w:r>
      <w:r w:rsidR="00C4763C">
        <w:t xml:space="preserve"> or recreational spaces</w:t>
      </w:r>
    </w:p>
    <w:p w14:paraId="67C552BE" w14:textId="492E8028" w:rsidR="40FA3D7D" w:rsidRDefault="40FA3D7D" w:rsidP="00D65726">
      <w:pPr>
        <w:pStyle w:val="ListParagraph"/>
      </w:pPr>
    </w:p>
    <w:p w14:paraId="24D0DC16" w14:textId="772F3053" w:rsidR="006411DB" w:rsidRDefault="00C37147" w:rsidP="006411DB">
      <w:r>
        <w:t xml:space="preserve">It is stated in the Brownfields </w:t>
      </w:r>
      <w:r w:rsidR="00A13BC7">
        <w:t>Revitalization</w:t>
      </w:r>
      <w:r>
        <w:t xml:space="preserve"> Act that the state will encourage and not limit the use of an eligible entity’s federal Brownfields funding and therefore the Brownfields program will evaluate, on an annual basis, which communities are not being </w:t>
      </w:r>
      <w:r w:rsidR="00B15598">
        <w:t xml:space="preserve">supported by local or </w:t>
      </w:r>
      <w:r>
        <w:t xml:space="preserve">Federal </w:t>
      </w:r>
      <w:r w:rsidR="002651C9">
        <w:t>B</w:t>
      </w:r>
      <w:r>
        <w:t xml:space="preserve">rownfields funds and prioritize those communities for state assistance. </w:t>
      </w:r>
      <w:r w:rsidR="00B15598">
        <w:t>DEQ</w:t>
      </w:r>
      <w:r w:rsidR="007B128E">
        <w:t xml:space="preserve">’s Brownfields Program will </w:t>
      </w:r>
      <w:r w:rsidR="00EB4B3E">
        <w:t xml:space="preserve">continue to </w:t>
      </w:r>
      <w:r w:rsidR="00E61D80">
        <w:t xml:space="preserve">work and </w:t>
      </w:r>
      <w:r w:rsidR="00EB4B3E">
        <w:t xml:space="preserve">partner </w:t>
      </w:r>
      <w:r w:rsidR="007B128E">
        <w:t xml:space="preserve">with </w:t>
      </w:r>
      <w:r w:rsidR="00071F82">
        <w:t xml:space="preserve">local and </w:t>
      </w:r>
      <w:r w:rsidR="00CF3698">
        <w:t xml:space="preserve">federal partners on redeveloping Brownfields properties </w:t>
      </w:r>
      <w:r w:rsidR="00E61D80">
        <w:t>and invites applications from across Montana</w:t>
      </w:r>
      <w:r w:rsidR="003F2006">
        <w:t>.</w:t>
      </w:r>
    </w:p>
    <w:p w14:paraId="69A7FE67" w14:textId="77777777" w:rsidR="00A13BC7" w:rsidRDefault="00A13BC7" w:rsidP="006411DB"/>
    <w:p w14:paraId="4CCBBEC9" w14:textId="09ADB143" w:rsidR="006411DB" w:rsidRPr="00071E6B" w:rsidRDefault="00500E55" w:rsidP="00071E6B">
      <w:pPr>
        <w:pStyle w:val="Heading1"/>
        <w:rPr>
          <w:b/>
          <w:bCs/>
          <w:color w:val="auto"/>
          <w:sz w:val="26"/>
          <w:szCs w:val="26"/>
        </w:rPr>
      </w:pPr>
      <w:bookmarkStart w:id="5" w:name="_Toc211003038"/>
      <w:r>
        <w:rPr>
          <w:b/>
          <w:bCs/>
          <w:color w:val="auto"/>
          <w:sz w:val="26"/>
          <w:szCs w:val="26"/>
        </w:rPr>
        <w:t>6</w:t>
      </w:r>
      <w:r w:rsidR="00A13BC7" w:rsidRPr="00071E6B">
        <w:rPr>
          <w:b/>
          <w:bCs/>
          <w:color w:val="auto"/>
          <w:sz w:val="26"/>
          <w:szCs w:val="26"/>
        </w:rPr>
        <w:t xml:space="preserve">.0 </w:t>
      </w:r>
      <w:r w:rsidR="006411DB" w:rsidRPr="00071E6B">
        <w:rPr>
          <w:b/>
          <w:bCs/>
          <w:color w:val="auto"/>
          <w:sz w:val="26"/>
          <w:szCs w:val="26"/>
        </w:rPr>
        <w:t>Maxi</w:t>
      </w:r>
      <w:r w:rsidR="00E337BE" w:rsidRPr="00071E6B">
        <w:rPr>
          <w:b/>
          <w:bCs/>
          <w:color w:val="auto"/>
          <w:sz w:val="26"/>
          <w:szCs w:val="26"/>
        </w:rPr>
        <w:t>mizing Assistance</w:t>
      </w:r>
      <w:bookmarkEnd w:id="5"/>
      <w:r w:rsidR="00E337BE" w:rsidRPr="00071E6B">
        <w:rPr>
          <w:b/>
          <w:bCs/>
          <w:color w:val="auto"/>
          <w:sz w:val="26"/>
          <w:szCs w:val="26"/>
        </w:rPr>
        <w:t xml:space="preserve"> </w:t>
      </w:r>
    </w:p>
    <w:p w14:paraId="445880AF" w14:textId="3BE9902F" w:rsidR="006411DB" w:rsidRDefault="0082571A" w:rsidP="0082571A">
      <w:r>
        <w:t>To</w:t>
      </w:r>
      <w:r w:rsidR="00C85C74">
        <w:t xml:space="preserve"> ensure </w:t>
      </w:r>
      <w:r w:rsidR="007A2996">
        <w:t xml:space="preserve">as many communities as possible are supported through the Brownfields Site Redevelop Fund, </w:t>
      </w:r>
      <w:r w:rsidR="00843B6E">
        <w:t xml:space="preserve">the </w:t>
      </w:r>
      <w:r w:rsidR="007A2996">
        <w:t>DEQ Brownfields P</w:t>
      </w:r>
      <w:r w:rsidR="00843B6E">
        <w:t xml:space="preserve">rogram </w:t>
      </w:r>
      <w:r w:rsidR="007D4632">
        <w:t>will assist a minimum of 10 sites</w:t>
      </w:r>
      <w:r w:rsidR="00A369C1">
        <w:t>,</w:t>
      </w:r>
      <w:r w:rsidR="007D4632">
        <w:t xml:space="preserve"> </w:t>
      </w:r>
      <w:r w:rsidR="00A369C1">
        <w:t>annually</w:t>
      </w:r>
      <w:r w:rsidR="00D24AC0">
        <w:t xml:space="preserve">. </w:t>
      </w:r>
      <w:r w:rsidR="00EE1897">
        <w:t xml:space="preserve">With </w:t>
      </w:r>
      <w:r w:rsidR="00914B0E">
        <w:t>the fund receiving $200,000 each fiscal year t</w:t>
      </w:r>
      <w:r w:rsidR="00A76A09">
        <w:t xml:space="preserve">he DEQ Brownfields Program will evaluate project costs </w:t>
      </w:r>
      <w:r w:rsidR="009A250A">
        <w:t xml:space="preserve">and award funds </w:t>
      </w:r>
      <w:r w:rsidR="00A76A09">
        <w:t>accordingly to ensure this goal is met</w:t>
      </w:r>
      <w:r w:rsidR="009A250A">
        <w:t xml:space="preserve">. </w:t>
      </w:r>
    </w:p>
    <w:p w14:paraId="28E27073" w14:textId="77777777" w:rsidR="00C4763C" w:rsidRDefault="00C4763C" w:rsidP="00C4763C">
      <w:pPr>
        <w:pStyle w:val="ListParagraph"/>
      </w:pPr>
    </w:p>
    <w:sectPr w:rsidR="00C4763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1419" w14:textId="77777777" w:rsidR="003009C2" w:rsidRDefault="003009C2" w:rsidP="00987559">
      <w:pPr>
        <w:spacing w:after="0" w:line="240" w:lineRule="auto"/>
      </w:pPr>
      <w:r>
        <w:separator/>
      </w:r>
    </w:p>
  </w:endnote>
  <w:endnote w:type="continuationSeparator" w:id="0">
    <w:p w14:paraId="4B22C895" w14:textId="77777777" w:rsidR="003009C2" w:rsidRDefault="003009C2" w:rsidP="00987559">
      <w:pPr>
        <w:spacing w:after="0" w:line="240" w:lineRule="auto"/>
      </w:pPr>
      <w:r>
        <w:continuationSeparator/>
      </w:r>
    </w:p>
  </w:endnote>
  <w:endnote w:type="continuationNotice" w:id="1">
    <w:p w14:paraId="124E0BE6" w14:textId="77777777" w:rsidR="003009C2" w:rsidRDefault="00300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9825" w14:textId="77777777" w:rsidR="003009C2" w:rsidRDefault="003009C2" w:rsidP="00987559">
      <w:pPr>
        <w:spacing w:after="0" w:line="240" w:lineRule="auto"/>
      </w:pPr>
      <w:r>
        <w:separator/>
      </w:r>
    </w:p>
  </w:footnote>
  <w:footnote w:type="continuationSeparator" w:id="0">
    <w:p w14:paraId="737ACD2D" w14:textId="77777777" w:rsidR="003009C2" w:rsidRDefault="003009C2" w:rsidP="00987559">
      <w:pPr>
        <w:spacing w:after="0" w:line="240" w:lineRule="auto"/>
      </w:pPr>
      <w:r>
        <w:continuationSeparator/>
      </w:r>
    </w:p>
  </w:footnote>
  <w:footnote w:type="continuationNotice" w:id="1">
    <w:p w14:paraId="27DE470B" w14:textId="77777777" w:rsidR="003009C2" w:rsidRDefault="003009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2930"/>
      <w:docPartObj>
        <w:docPartGallery w:val="Page Numbers (Top of Page)"/>
        <w:docPartUnique/>
      </w:docPartObj>
    </w:sdtPr>
    <w:sdtEndPr>
      <w:rPr>
        <w:noProof/>
      </w:rPr>
    </w:sdtEndPr>
    <w:sdtContent>
      <w:p w14:paraId="058762D3" w14:textId="7DE2CAC2" w:rsidR="00987559" w:rsidRDefault="009875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71C9C9" w14:textId="77777777" w:rsidR="00987559" w:rsidRDefault="00987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5101"/>
    <w:multiLevelType w:val="hybridMultilevel"/>
    <w:tmpl w:val="E954D8B4"/>
    <w:lvl w:ilvl="0" w:tplc="EEEC5666">
      <w:start w:val="1"/>
      <w:numFmt w:val="bullet"/>
      <w:lvlText w:val="-"/>
      <w:lvlJc w:val="left"/>
      <w:pPr>
        <w:ind w:left="720" w:hanging="360"/>
      </w:pPr>
      <w:rPr>
        <w:rFonts w:ascii="Aptos" w:hAnsi="Aptos" w:hint="default"/>
      </w:rPr>
    </w:lvl>
    <w:lvl w:ilvl="1" w:tplc="12BE5A66">
      <w:start w:val="1"/>
      <w:numFmt w:val="bullet"/>
      <w:lvlText w:val="o"/>
      <w:lvlJc w:val="left"/>
      <w:pPr>
        <w:ind w:left="1440" w:hanging="360"/>
      </w:pPr>
      <w:rPr>
        <w:rFonts w:ascii="Courier New" w:hAnsi="Courier New" w:hint="default"/>
      </w:rPr>
    </w:lvl>
    <w:lvl w:ilvl="2" w:tplc="5E14B870">
      <w:start w:val="1"/>
      <w:numFmt w:val="bullet"/>
      <w:lvlText w:val=""/>
      <w:lvlJc w:val="left"/>
      <w:pPr>
        <w:ind w:left="2160" w:hanging="360"/>
      </w:pPr>
      <w:rPr>
        <w:rFonts w:ascii="Wingdings" w:hAnsi="Wingdings" w:hint="default"/>
      </w:rPr>
    </w:lvl>
    <w:lvl w:ilvl="3" w:tplc="13DC54D6">
      <w:start w:val="1"/>
      <w:numFmt w:val="bullet"/>
      <w:lvlText w:val=""/>
      <w:lvlJc w:val="left"/>
      <w:pPr>
        <w:ind w:left="2880" w:hanging="360"/>
      </w:pPr>
      <w:rPr>
        <w:rFonts w:ascii="Symbol" w:hAnsi="Symbol" w:hint="default"/>
      </w:rPr>
    </w:lvl>
    <w:lvl w:ilvl="4" w:tplc="F7B6C2EE">
      <w:start w:val="1"/>
      <w:numFmt w:val="bullet"/>
      <w:lvlText w:val="o"/>
      <w:lvlJc w:val="left"/>
      <w:pPr>
        <w:ind w:left="3600" w:hanging="360"/>
      </w:pPr>
      <w:rPr>
        <w:rFonts w:ascii="Courier New" w:hAnsi="Courier New" w:hint="default"/>
      </w:rPr>
    </w:lvl>
    <w:lvl w:ilvl="5" w:tplc="BAEED9CC">
      <w:start w:val="1"/>
      <w:numFmt w:val="bullet"/>
      <w:lvlText w:val=""/>
      <w:lvlJc w:val="left"/>
      <w:pPr>
        <w:ind w:left="4320" w:hanging="360"/>
      </w:pPr>
      <w:rPr>
        <w:rFonts w:ascii="Wingdings" w:hAnsi="Wingdings" w:hint="default"/>
      </w:rPr>
    </w:lvl>
    <w:lvl w:ilvl="6" w:tplc="F4888606">
      <w:start w:val="1"/>
      <w:numFmt w:val="bullet"/>
      <w:lvlText w:val=""/>
      <w:lvlJc w:val="left"/>
      <w:pPr>
        <w:ind w:left="5040" w:hanging="360"/>
      </w:pPr>
      <w:rPr>
        <w:rFonts w:ascii="Symbol" w:hAnsi="Symbol" w:hint="default"/>
      </w:rPr>
    </w:lvl>
    <w:lvl w:ilvl="7" w:tplc="2932A76E">
      <w:start w:val="1"/>
      <w:numFmt w:val="bullet"/>
      <w:lvlText w:val="o"/>
      <w:lvlJc w:val="left"/>
      <w:pPr>
        <w:ind w:left="5760" w:hanging="360"/>
      </w:pPr>
      <w:rPr>
        <w:rFonts w:ascii="Courier New" w:hAnsi="Courier New" w:hint="default"/>
      </w:rPr>
    </w:lvl>
    <w:lvl w:ilvl="8" w:tplc="A42E07B0">
      <w:start w:val="1"/>
      <w:numFmt w:val="bullet"/>
      <w:lvlText w:val=""/>
      <w:lvlJc w:val="left"/>
      <w:pPr>
        <w:ind w:left="6480" w:hanging="360"/>
      </w:pPr>
      <w:rPr>
        <w:rFonts w:ascii="Wingdings" w:hAnsi="Wingdings" w:hint="default"/>
      </w:rPr>
    </w:lvl>
  </w:abstractNum>
  <w:abstractNum w:abstractNumId="1" w15:restartNumberingAfterBreak="0">
    <w:nsid w:val="02F06F98"/>
    <w:multiLevelType w:val="hybridMultilevel"/>
    <w:tmpl w:val="2BFA764A"/>
    <w:lvl w:ilvl="0" w:tplc="A11642A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0DE2"/>
    <w:multiLevelType w:val="multilevel"/>
    <w:tmpl w:val="9F2AB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832EE"/>
    <w:multiLevelType w:val="hybridMultilevel"/>
    <w:tmpl w:val="2F52C8B2"/>
    <w:lvl w:ilvl="0" w:tplc="D32852E4">
      <w:start w:val="1"/>
      <w:numFmt w:val="bullet"/>
      <w:lvlText w:val="-"/>
      <w:lvlJc w:val="left"/>
      <w:pPr>
        <w:ind w:left="720" w:hanging="360"/>
      </w:pPr>
      <w:rPr>
        <w:rFonts w:ascii="Aptos" w:hAnsi="Aptos" w:hint="default"/>
      </w:rPr>
    </w:lvl>
    <w:lvl w:ilvl="1" w:tplc="764CB8D4">
      <w:start w:val="1"/>
      <w:numFmt w:val="bullet"/>
      <w:lvlText w:val="o"/>
      <w:lvlJc w:val="left"/>
      <w:pPr>
        <w:ind w:left="1440" w:hanging="360"/>
      </w:pPr>
      <w:rPr>
        <w:rFonts w:ascii="Courier New" w:hAnsi="Courier New" w:hint="default"/>
      </w:rPr>
    </w:lvl>
    <w:lvl w:ilvl="2" w:tplc="3A624D88">
      <w:start w:val="1"/>
      <w:numFmt w:val="bullet"/>
      <w:lvlText w:val=""/>
      <w:lvlJc w:val="left"/>
      <w:pPr>
        <w:ind w:left="2160" w:hanging="360"/>
      </w:pPr>
      <w:rPr>
        <w:rFonts w:ascii="Wingdings" w:hAnsi="Wingdings" w:hint="default"/>
      </w:rPr>
    </w:lvl>
    <w:lvl w:ilvl="3" w:tplc="E4F6683A">
      <w:start w:val="1"/>
      <w:numFmt w:val="bullet"/>
      <w:lvlText w:val=""/>
      <w:lvlJc w:val="left"/>
      <w:pPr>
        <w:ind w:left="2880" w:hanging="360"/>
      </w:pPr>
      <w:rPr>
        <w:rFonts w:ascii="Symbol" w:hAnsi="Symbol" w:hint="default"/>
      </w:rPr>
    </w:lvl>
    <w:lvl w:ilvl="4" w:tplc="022EDDC8">
      <w:start w:val="1"/>
      <w:numFmt w:val="bullet"/>
      <w:lvlText w:val="o"/>
      <w:lvlJc w:val="left"/>
      <w:pPr>
        <w:ind w:left="3600" w:hanging="360"/>
      </w:pPr>
      <w:rPr>
        <w:rFonts w:ascii="Courier New" w:hAnsi="Courier New" w:hint="default"/>
      </w:rPr>
    </w:lvl>
    <w:lvl w:ilvl="5" w:tplc="FAFEA5C2">
      <w:start w:val="1"/>
      <w:numFmt w:val="bullet"/>
      <w:lvlText w:val=""/>
      <w:lvlJc w:val="left"/>
      <w:pPr>
        <w:ind w:left="4320" w:hanging="360"/>
      </w:pPr>
      <w:rPr>
        <w:rFonts w:ascii="Wingdings" w:hAnsi="Wingdings" w:hint="default"/>
      </w:rPr>
    </w:lvl>
    <w:lvl w:ilvl="6" w:tplc="831AE240">
      <w:start w:val="1"/>
      <w:numFmt w:val="bullet"/>
      <w:lvlText w:val=""/>
      <w:lvlJc w:val="left"/>
      <w:pPr>
        <w:ind w:left="5040" w:hanging="360"/>
      </w:pPr>
      <w:rPr>
        <w:rFonts w:ascii="Symbol" w:hAnsi="Symbol" w:hint="default"/>
      </w:rPr>
    </w:lvl>
    <w:lvl w:ilvl="7" w:tplc="699865DE">
      <w:start w:val="1"/>
      <w:numFmt w:val="bullet"/>
      <w:lvlText w:val="o"/>
      <w:lvlJc w:val="left"/>
      <w:pPr>
        <w:ind w:left="5760" w:hanging="360"/>
      </w:pPr>
      <w:rPr>
        <w:rFonts w:ascii="Courier New" w:hAnsi="Courier New" w:hint="default"/>
      </w:rPr>
    </w:lvl>
    <w:lvl w:ilvl="8" w:tplc="8D9C2C48">
      <w:start w:val="1"/>
      <w:numFmt w:val="bullet"/>
      <w:lvlText w:val=""/>
      <w:lvlJc w:val="left"/>
      <w:pPr>
        <w:ind w:left="6480" w:hanging="360"/>
      </w:pPr>
      <w:rPr>
        <w:rFonts w:ascii="Wingdings" w:hAnsi="Wingdings" w:hint="default"/>
      </w:rPr>
    </w:lvl>
  </w:abstractNum>
  <w:abstractNum w:abstractNumId="4" w15:restartNumberingAfterBreak="0">
    <w:nsid w:val="0C87C0C7"/>
    <w:multiLevelType w:val="hybridMultilevel"/>
    <w:tmpl w:val="1D24523E"/>
    <w:lvl w:ilvl="0" w:tplc="A10E1514">
      <w:start w:val="1"/>
      <w:numFmt w:val="bullet"/>
      <w:lvlText w:val="-"/>
      <w:lvlJc w:val="left"/>
      <w:pPr>
        <w:ind w:left="720" w:hanging="360"/>
      </w:pPr>
      <w:rPr>
        <w:rFonts w:ascii="Aptos" w:hAnsi="Aptos" w:hint="default"/>
      </w:rPr>
    </w:lvl>
    <w:lvl w:ilvl="1" w:tplc="09264E36">
      <w:start w:val="1"/>
      <w:numFmt w:val="bullet"/>
      <w:lvlText w:val="o"/>
      <w:lvlJc w:val="left"/>
      <w:pPr>
        <w:ind w:left="1440" w:hanging="360"/>
      </w:pPr>
      <w:rPr>
        <w:rFonts w:ascii="Courier New" w:hAnsi="Courier New" w:hint="default"/>
      </w:rPr>
    </w:lvl>
    <w:lvl w:ilvl="2" w:tplc="F1E448EE">
      <w:start w:val="1"/>
      <w:numFmt w:val="bullet"/>
      <w:lvlText w:val=""/>
      <w:lvlJc w:val="left"/>
      <w:pPr>
        <w:ind w:left="2160" w:hanging="360"/>
      </w:pPr>
      <w:rPr>
        <w:rFonts w:ascii="Wingdings" w:hAnsi="Wingdings" w:hint="default"/>
      </w:rPr>
    </w:lvl>
    <w:lvl w:ilvl="3" w:tplc="5F5E3072">
      <w:start w:val="1"/>
      <w:numFmt w:val="bullet"/>
      <w:lvlText w:val=""/>
      <w:lvlJc w:val="left"/>
      <w:pPr>
        <w:ind w:left="2880" w:hanging="360"/>
      </w:pPr>
      <w:rPr>
        <w:rFonts w:ascii="Symbol" w:hAnsi="Symbol" w:hint="default"/>
      </w:rPr>
    </w:lvl>
    <w:lvl w:ilvl="4" w:tplc="D99E019A">
      <w:start w:val="1"/>
      <w:numFmt w:val="bullet"/>
      <w:lvlText w:val="o"/>
      <w:lvlJc w:val="left"/>
      <w:pPr>
        <w:ind w:left="3600" w:hanging="360"/>
      </w:pPr>
      <w:rPr>
        <w:rFonts w:ascii="Courier New" w:hAnsi="Courier New" w:hint="default"/>
      </w:rPr>
    </w:lvl>
    <w:lvl w:ilvl="5" w:tplc="F0907C82">
      <w:start w:val="1"/>
      <w:numFmt w:val="bullet"/>
      <w:lvlText w:val=""/>
      <w:lvlJc w:val="left"/>
      <w:pPr>
        <w:ind w:left="4320" w:hanging="360"/>
      </w:pPr>
      <w:rPr>
        <w:rFonts w:ascii="Wingdings" w:hAnsi="Wingdings" w:hint="default"/>
      </w:rPr>
    </w:lvl>
    <w:lvl w:ilvl="6" w:tplc="0F72CAEA">
      <w:start w:val="1"/>
      <w:numFmt w:val="bullet"/>
      <w:lvlText w:val=""/>
      <w:lvlJc w:val="left"/>
      <w:pPr>
        <w:ind w:left="5040" w:hanging="360"/>
      </w:pPr>
      <w:rPr>
        <w:rFonts w:ascii="Symbol" w:hAnsi="Symbol" w:hint="default"/>
      </w:rPr>
    </w:lvl>
    <w:lvl w:ilvl="7" w:tplc="EDEE48F8">
      <w:start w:val="1"/>
      <w:numFmt w:val="bullet"/>
      <w:lvlText w:val="o"/>
      <w:lvlJc w:val="left"/>
      <w:pPr>
        <w:ind w:left="5760" w:hanging="360"/>
      </w:pPr>
      <w:rPr>
        <w:rFonts w:ascii="Courier New" w:hAnsi="Courier New" w:hint="default"/>
      </w:rPr>
    </w:lvl>
    <w:lvl w:ilvl="8" w:tplc="C45209BA">
      <w:start w:val="1"/>
      <w:numFmt w:val="bullet"/>
      <w:lvlText w:val=""/>
      <w:lvlJc w:val="left"/>
      <w:pPr>
        <w:ind w:left="6480" w:hanging="360"/>
      </w:pPr>
      <w:rPr>
        <w:rFonts w:ascii="Wingdings" w:hAnsi="Wingdings" w:hint="default"/>
      </w:rPr>
    </w:lvl>
  </w:abstractNum>
  <w:abstractNum w:abstractNumId="5" w15:restartNumberingAfterBreak="0">
    <w:nsid w:val="126EC4F0"/>
    <w:multiLevelType w:val="hybridMultilevel"/>
    <w:tmpl w:val="73249F6A"/>
    <w:lvl w:ilvl="0" w:tplc="134ED7B0">
      <w:start w:val="1"/>
      <w:numFmt w:val="bullet"/>
      <w:lvlText w:val="-"/>
      <w:lvlJc w:val="left"/>
      <w:pPr>
        <w:ind w:left="720" w:hanging="360"/>
      </w:pPr>
      <w:rPr>
        <w:rFonts w:ascii="Aptos" w:hAnsi="Aptos" w:hint="default"/>
      </w:rPr>
    </w:lvl>
    <w:lvl w:ilvl="1" w:tplc="FEA46E84">
      <w:start w:val="1"/>
      <w:numFmt w:val="bullet"/>
      <w:lvlText w:val="o"/>
      <w:lvlJc w:val="left"/>
      <w:pPr>
        <w:ind w:left="1440" w:hanging="360"/>
      </w:pPr>
      <w:rPr>
        <w:rFonts w:ascii="Courier New" w:hAnsi="Courier New" w:hint="default"/>
      </w:rPr>
    </w:lvl>
    <w:lvl w:ilvl="2" w:tplc="4DAC54B6">
      <w:start w:val="1"/>
      <w:numFmt w:val="bullet"/>
      <w:lvlText w:val=""/>
      <w:lvlJc w:val="left"/>
      <w:pPr>
        <w:ind w:left="2160" w:hanging="360"/>
      </w:pPr>
      <w:rPr>
        <w:rFonts w:ascii="Wingdings" w:hAnsi="Wingdings" w:hint="default"/>
      </w:rPr>
    </w:lvl>
    <w:lvl w:ilvl="3" w:tplc="2CC4B8F2">
      <w:start w:val="1"/>
      <w:numFmt w:val="bullet"/>
      <w:lvlText w:val=""/>
      <w:lvlJc w:val="left"/>
      <w:pPr>
        <w:ind w:left="2880" w:hanging="360"/>
      </w:pPr>
      <w:rPr>
        <w:rFonts w:ascii="Symbol" w:hAnsi="Symbol" w:hint="default"/>
      </w:rPr>
    </w:lvl>
    <w:lvl w:ilvl="4" w:tplc="92E6F72C">
      <w:start w:val="1"/>
      <w:numFmt w:val="bullet"/>
      <w:lvlText w:val="o"/>
      <w:lvlJc w:val="left"/>
      <w:pPr>
        <w:ind w:left="3600" w:hanging="360"/>
      </w:pPr>
      <w:rPr>
        <w:rFonts w:ascii="Courier New" w:hAnsi="Courier New" w:hint="default"/>
      </w:rPr>
    </w:lvl>
    <w:lvl w:ilvl="5" w:tplc="EC447C28">
      <w:start w:val="1"/>
      <w:numFmt w:val="bullet"/>
      <w:lvlText w:val=""/>
      <w:lvlJc w:val="left"/>
      <w:pPr>
        <w:ind w:left="4320" w:hanging="360"/>
      </w:pPr>
      <w:rPr>
        <w:rFonts w:ascii="Wingdings" w:hAnsi="Wingdings" w:hint="default"/>
      </w:rPr>
    </w:lvl>
    <w:lvl w:ilvl="6" w:tplc="A7A01B80">
      <w:start w:val="1"/>
      <w:numFmt w:val="bullet"/>
      <w:lvlText w:val=""/>
      <w:lvlJc w:val="left"/>
      <w:pPr>
        <w:ind w:left="5040" w:hanging="360"/>
      </w:pPr>
      <w:rPr>
        <w:rFonts w:ascii="Symbol" w:hAnsi="Symbol" w:hint="default"/>
      </w:rPr>
    </w:lvl>
    <w:lvl w:ilvl="7" w:tplc="6338C38C">
      <w:start w:val="1"/>
      <w:numFmt w:val="bullet"/>
      <w:lvlText w:val="o"/>
      <w:lvlJc w:val="left"/>
      <w:pPr>
        <w:ind w:left="5760" w:hanging="360"/>
      </w:pPr>
      <w:rPr>
        <w:rFonts w:ascii="Courier New" w:hAnsi="Courier New" w:hint="default"/>
      </w:rPr>
    </w:lvl>
    <w:lvl w:ilvl="8" w:tplc="7E6EB2BC">
      <w:start w:val="1"/>
      <w:numFmt w:val="bullet"/>
      <w:lvlText w:val=""/>
      <w:lvlJc w:val="left"/>
      <w:pPr>
        <w:ind w:left="6480" w:hanging="360"/>
      </w:pPr>
      <w:rPr>
        <w:rFonts w:ascii="Wingdings" w:hAnsi="Wingdings" w:hint="default"/>
      </w:rPr>
    </w:lvl>
  </w:abstractNum>
  <w:abstractNum w:abstractNumId="6" w15:restartNumberingAfterBreak="0">
    <w:nsid w:val="17E494F9"/>
    <w:multiLevelType w:val="hybridMultilevel"/>
    <w:tmpl w:val="EF6213FA"/>
    <w:lvl w:ilvl="0" w:tplc="D5361F36">
      <w:start w:val="1"/>
      <w:numFmt w:val="bullet"/>
      <w:lvlText w:val="-"/>
      <w:lvlJc w:val="left"/>
      <w:pPr>
        <w:ind w:left="720" w:hanging="360"/>
      </w:pPr>
      <w:rPr>
        <w:rFonts w:ascii="Aptos" w:hAnsi="Aptos" w:hint="default"/>
      </w:rPr>
    </w:lvl>
    <w:lvl w:ilvl="1" w:tplc="D8C8F440">
      <w:start w:val="1"/>
      <w:numFmt w:val="bullet"/>
      <w:lvlText w:val="o"/>
      <w:lvlJc w:val="left"/>
      <w:pPr>
        <w:ind w:left="1440" w:hanging="360"/>
      </w:pPr>
      <w:rPr>
        <w:rFonts w:ascii="Courier New" w:hAnsi="Courier New" w:hint="default"/>
      </w:rPr>
    </w:lvl>
    <w:lvl w:ilvl="2" w:tplc="C10A231C">
      <w:start w:val="1"/>
      <w:numFmt w:val="bullet"/>
      <w:lvlText w:val=""/>
      <w:lvlJc w:val="left"/>
      <w:pPr>
        <w:ind w:left="2160" w:hanging="360"/>
      </w:pPr>
      <w:rPr>
        <w:rFonts w:ascii="Wingdings" w:hAnsi="Wingdings" w:hint="default"/>
      </w:rPr>
    </w:lvl>
    <w:lvl w:ilvl="3" w:tplc="2B00ECD2">
      <w:start w:val="1"/>
      <w:numFmt w:val="bullet"/>
      <w:lvlText w:val=""/>
      <w:lvlJc w:val="left"/>
      <w:pPr>
        <w:ind w:left="2880" w:hanging="360"/>
      </w:pPr>
      <w:rPr>
        <w:rFonts w:ascii="Symbol" w:hAnsi="Symbol" w:hint="default"/>
      </w:rPr>
    </w:lvl>
    <w:lvl w:ilvl="4" w:tplc="B5F89766">
      <w:start w:val="1"/>
      <w:numFmt w:val="bullet"/>
      <w:lvlText w:val="o"/>
      <w:lvlJc w:val="left"/>
      <w:pPr>
        <w:ind w:left="3600" w:hanging="360"/>
      </w:pPr>
      <w:rPr>
        <w:rFonts w:ascii="Courier New" w:hAnsi="Courier New" w:hint="default"/>
      </w:rPr>
    </w:lvl>
    <w:lvl w:ilvl="5" w:tplc="AAB68A48">
      <w:start w:val="1"/>
      <w:numFmt w:val="bullet"/>
      <w:lvlText w:val=""/>
      <w:lvlJc w:val="left"/>
      <w:pPr>
        <w:ind w:left="4320" w:hanging="360"/>
      </w:pPr>
      <w:rPr>
        <w:rFonts w:ascii="Wingdings" w:hAnsi="Wingdings" w:hint="default"/>
      </w:rPr>
    </w:lvl>
    <w:lvl w:ilvl="6" w:tplc="85245396">
      <w:start w:val="1"/>
      <w:numFmt w:val="bullet"/>
      <w:lvlText w:val=""/>
      <w:lvlJc w:val="left"/>
      <w:pPr>
        <w:ind w:left="5040" w:hanging="360"/>
      </w:pPr>
      <w:rPr>
        <w:rFonts w:ascii="Symbol" w:hAnsi="Symbol" w:hint="default"/>
      </w:rPr>
    </w:lvl>
    <w:lvl w:ilvl="7" w:tplc="36A27712">
      <w:start w:val="1"/>
      <w:numFmt w:val="bullet"/>
      <w:lvlText w:val="o"/>
      <w:lvlJc w:val="left"/>
      <w:pPr>
        <w:ind w:left="5760" w:hanging="360"/>
      </w:pPr>
      <w:rPr>
        <w:rFonts w:ascii="Courier New" w:hAnsi="Courier New" w:hint="default"/>
      </w:rPr>
    </w:lvl>
    <w:lvl w:ilvl="8" w:tplc="918AC562">
      <w:start w:val="1"/>
      <w:numFmt w:val="bullet"/>
      <w:lvlText w:val=""/>
      <w:lvlJc w:val="left"/>
      <w:pPr>
        <w:ind w:left="6480" w:hanging="360"/>
      </w:pPr>
      <w:rPr>
        <w:rFonts w:ascii="Wingdings" w:hAnsi="Wingdings" w:hint="default"/>
      </w:rPr>
    </w:lvl>
  </w:abstractNum>
  <w:abstractNum w:abstractNumId="7" w15:restartNumberingAfterBreak="0">
    <w:nsid w:val="26B53C73"/>
    <w:multiLevelType w:val="hybridMultilevel"/>
    <w:tmpl w:val="E7820C5E"/>
    <w:lvl w:ilvl="0" w:tplc="BE2E9D28">
      <w:start w:val="1"/>
      <w:numFmt w:val="bullet"/>
      <w:lvlText w:val="-"/>
      <w:lvlJc w:val="left"/>
      <w:pPr>
        <w:ind w:left="720" w:hanging="360"/>
      </w:pPr>
      <w:rPr>
        <w:rFonts w:ascii="Aptos" w:hAnsi="Aptos" w:hint="default"/>
      </w:rPr>
    </w:lvl>
    <w:lvl w:ilvl="1" w:tplc="AC9EC334">
      <w:start w:val="1"/>
      <w:numFmt w:val="bullet"/>
      <w:lvlText w:val="o"/>
      <w:lvlJc w:val="left"/>
      <w:pPr>
        <w:ind w:left="1440" w:hanging="360"/>
      </w:pPr>
      <w:rPr>
        <w:rFonts w:ascii="Courier New" w:hAnsi="Courier New" w:hint="default"/>
      </w:rPr>
    </w:lvl>
    <w:lvl w:ilvl="2" w:tplc="2EB89C74">
      <w:start w:val="1"/>
      <w:numFmt w:val="bullet"/>
      <w:lvlText w:val=""/>
      <w:lvlJc w:val="left"/>
      <w:pPr>
        <w:ind w:left="2160" w:hanging="360"/>
      </w:pPr>
      <w:rPr>
        <w:rFonts w:ascii="Wingdings" w:hAnsi="Wingdings" w:hint="default"/>
      </w:rPr>
    </w:lvl>
    <w:lvl w:ilvl="3" w:tplc="78060020">
      <w:start w:val="1"/>
      <w:numFmt w:val="bullet"/>
      <w:lvlText w:val=""/>
      <w:lvlJc w:val="left"/>
      <w:pPr>
        <w:ind w:left="2880" w:hanging="360"/>
      </w:pPr>
      <w:rPr>
        <w:rFonts w:ascii="Symbol" w:hAnsi="Symbol" w:hint="default"/>
      </w:rPr>
    </w:lvl>
    <w:lvl w:ilvl="4" w:tplc="3C02859E">
      <w:start w:val="1"/>
      <w:numFmt w:val="bullet"/>
      <w:lvlText w:val="o"/>
      <w:lvlJc w:val="left"/>
      <w:pPr>
        <w:ind w:left="3600" w:hanging="360"/>
      </w:pPr>
      <w:rPr>
        <w:rFonts w:ascii="Courier New" w:hAnsi="Courier New" w:hint="default"/>
      </w:rPr>
    </w:lvl>
    <w:lvl w:ilvl="5" w:tplc="7DC8D054">
      <w:start w:val="1"/>
      <w:numFmt w:val="bullet"/>
      <w:lvlText w:val=""/>
      <w:lvlJc w:val="left"/>
      <w:pPr>
        <w:ind w:left="4320" w:hanging="360"/>
      </w:pPr>
      <w:rPr>
        <w:rFonts w:ascii="Wingdings" w:hAnsi="Wingdings" w:hint="default"/>
      </w:rPr>
    </w:lvl>
    <w:lvl w:ilvl="6" w:tplc="A9A6CDB4">
      <w:start w:val="1"/>
      <w:numFmt w:val="bullet"/>
      <w:lvlText w:val=""/>
      <w:lvlJc w:val="left"/>
      <w:pPr>
        <w:ind w:left="5040" w:hanging="360"/>
      </w:pPr>
      <w:rPr>
        <w:rFonts w:ascii="Symbol" w:hAnsi="Symbol" w:hint="default"/>
      </w:rPr>
    </w:lvl>
    <w:lvl w:ilvl="7" w:tplc="2ABA9E84">
      <w:start w:val="1"/>
      <w:numFmt w:val="bullet"/>
      <w:lvlText w:val="o"/>
      <w:lvlJc w:val="left"/>
      <w:pPr>
        <w:ind w:left="5760" w:hanging="360"/>
      </w:pPr>
      <w:rPr>
        <w:rFonts w:ascii="Courier New" w:hAnsi="Courier New" w:hint="default"/>
      </w:rPr>
    </w:lvl>
    <w:lvl w:ilvl="8" w:tplc="9802F3DE">
      <w:start w:val="1"/>
      <w:numFmt w:val="bullet"/>
      <w:lvlText w:val=""/>
      <w:lvlJc w:val="left"/>
      <w:pPr>
        <w:ind w:left="6480" w:hanging="360"/>
      </w:pPr>
      <w:rPr>
        <w:rFonts w:ascii="Wingdings" w:hAnsi="Wingdings" w:hint="default"/>
      </w:rPr>
    </w:lvl>
  </w:abstractNum>
  <w:abstractNum w:abstractNumId="8" w15:restartNumberingAfterBreak="0">
    <w:nsid w:val="35A239FA"/>
    <w:multiLevelType w:val="hybridMultilevel"/>
    <w:tmpl w:val="C62866DC"/>
    <w:lvl w:ilvl="0" w:tplc="A11642A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D4ED5"/>
    <w:multiLevelType w:val="hybridMultilevel"/>
    <w:tmpl w:val="8632A550"/>
    <w:lvl w:ilvl="0" w:tplc="96223A54">
      <w:start w:val="1"/>
      <w:numFmt w:val="bullet"/>
      <w:lvlText w:val="-"/>
      <w:lvlJc w:val="left"/>
      <w:pPr>
        <w:ind w:left="720" w:hanging="360"/>
      </w:pPr>
      <w:rPr>
        <w:rFonts w:ascii="Aptos" w:hAnsi="Aptos" w:hint="default"/>
      </w:rPr>
    </w:lvl>
    <w:lvl w:ilvl="1" w:tplc="F746D11C">
      <w:start w:val="1"/>
      <w:numFmt w:val="bullet"/>
      <w:lvlText w:val="o"/>
      <w:lvlJc w:val="left"/>
      <w:pPr>
        <w:ind w:left="1440" w:hanging="360"/>
      </w:pPr>
      <w:rPr>
        <w:rFonts w:ascii="Courier New" w:hAnsi="Courier New" w:hint="default"/>
      </w:rPr>
    </w:lvl>
    <w:lvl w:ilvl="2" w:tplc="9AA0610A">
      <w:start w:val="1"/>
      <w:numFmt w:val="bullet"/>
      <w:lvlText w:val=""/>
      <w:lvlJc w:val="left"/>
      <w:pPr>
        <w:ind w:left="2160" w:hanging="360"/>
      </w:pPr>
      <w:rPr>
        <w:rFonts w:ascii="Wingdings" w:hAnsi="Wingdings" w:hint="default"/>
      </w:rPr>
    </w:lvl>
    <w:lvl w:ilvl="3" w:tplc="427873F2">
      <w:start w:val="1"/>
      <w:numFmt w:val="bullet"/>
      <w:lvlText w:val=""/>
      <w:lvlJc w:val="left"/>
      <w:pPr>
        <w:ind w:left="2880" w:hanging="360"/>
      </w:pPr>
      <w:rPr>
        <w:rFonts w:ascii="Symbol" w:hAnsi="Symbol" w:hint="default"/>
      </w:rPr>
    </w:lvl>
    <w:lvl w:ilvl="4" w:tplc="78F6096A">
      <w:start w:val="1"/>
      <w:numFmt w:val="bullet"/>
      <w:lvlText w:val="o"/>
      <w:lvlJc w:val="left"/>
      <w:pPr>
        <w:ind w:left="3600" w:hanging="360"/>
      </w:pPr>
      <w:rPr>
        <w:rFonts w:ascii="Courier New" w:hAnsi="Courier New" w:hint="default"/>
      </w:rPr>
    </w:lvl>
    <w:lvl w:ilvl="5" w:tplc="8F3EC274">
      <w:start w:val="1"/>
      <w:numFmt w:val="bullet"/>
      <w:lvlText w:val=""/>
      <w:lvlJc w:val="left"/>
      <w:pPr>
        <w:ind w:left="4320" w:hanging="360"/>
      </w:pPr>
      <w:rPr>
        <w:rFonts w:ascii="Wingdings" w:hAnsi="Wingdings" w:hint="default"/>
      </w:rPr>
    </w:lvl>
    <w:lvl w:ilvl="6" w:tplc="7922AD5A">
      <w:start w:val="1"/>
      <w:numFmt w:val="bullet"/>
      <w:lvlText w:val=""/>
      <w:lvlJc w:val="left"/>
      <w:pPr>
        <w:ind w:left="5040" w:hanging="360"/>
      </w:pPr>
      <w:rPr>
        <w:rFonts w:ascii="Symbol" w:hAnsi="Symbol" w:hint="default"/>
      </w:rPr>
    </w:lvl>
    <w:lvl w:ilvl="7" w:tplc="F510103E">
      <w:start w:val="1"/>
      <w:numFmt w:val="bullet"/>
      <w:lvlText w:val="o"/>
      <w:lvlJc w:val="left"/>
      <w:pPr>
        <w:ind w:left="5760" w:hanging="360"/>
      </w:pPr>
      <w:rPr>
        <w:rFonts w:ascii="Courier New" w:hAnsi="Courier New" w:hint="default"/>
      </w:rPr>
    </w:lvl>
    <w:lvl w:ilvl="8" w:tplc="608C5CA8">
      <w:start w:val="1"/>
      <w:numFmt w:val="bullet"/>
      <w:lvlText w:val=""/>
      <w:lvlJc w:val="left"/>
      <w:pPr>
        <w:ind w:left="6480" w:hanging="360"/>
      </w:pPr>
      <w:rPr>
        <w:rFonts w:ascii="Wingdings" w:hAnsi="Wingdings" w:hint="default"/>
      </w:rPr>
    </w:lvl>
  </w:abstractNum>
  <w:abstractNum w:abstractNumId="10" w15:restartNumberingAfterBreak="0">
    <w:nsid w:val="60FD952B"/>
    <w:multiLevelType w:val="hybridMultilevel"/>
    <w:tmpl w:val="092428B4"/>
    <w:lvl w:ilvl="0" w:tplc="E446FFA8">
      <w:start w:val="1"/>
      <w:numFmt w:val="bullet"/>
      <w:lvlText w:val="-"/>
      <w:lvlJc w:val="left"/>
      <w:pPr>
        <w:ind w:left="720" w:hanging="360"/>
      </w:pPr>
      <w:rPr>
        <w:rFonts w:ascii="Aptos" w:hAnsi="Aptos" w:hint="default"/>
      </w:rPr>
    </w:lvl>
    <w:lvl w:ilvl="1" w:tplc="5342956C">
      <w:start w:val="1"/>
      <w:numFmt w:val="bullet"/>
      <w:lvlText w:val="o"/>
      <w:lvlJc w:val="left"/>
      <w:pPr>
        <w:ind w:left="1440" w:hanging="360"/>
      </w:pPr>
      <w:rPr>
        <w:rFonts w:ascii="Courier New" w:hAnsi="Courier New" w:hint="default"/>
      </w:rPr>
    </w:lvl>
    <w:lvl w:ilvl="2" w:tplc="BB44A866">
      <w:start w:val="1"/>
      <w:numFmt w:val="bullet"/>
      <w:lvlText w:val=""/>
      <w:lvlJc w:val="left"/>
      <w:pPr>
        <w:ind w:left="2160" w:hanging="360"/>
      </w:pPr>
      <w:rPr>
        <w:rFonts w:ascii="Wingdings" w:hAnsi="Wingdings" w:hint="default"/>
      </w:rPr>
    </w:lvl>
    <w:lvl w:ilvl="3" w:tplc="E7EE3BD2">
      <w:start w:val="1"/>
      <w:numFmt w:val="bullet"/>
      <w:lvlText w:val=""/>
      <w:lvlJc w:val="left"/>
      <w:pPr>
        <w:ind w:left="2880" w:hanging="360"/>
      </w:pPr>
      <w:rPr>
        <w:rFonts w:ascii="Symbol" w:hAnsi="Symbol" w:hint="default"/>
      </w:rPr>
    </w:lvl>
    <w:lvl w:ilvl="4" w:tplc="6E983CF2">
      <w:start w:val="1"/>
      <w:numFmt w:val="bullet"/>
      <w:lvlText w:val="o"/>
      <w:lvlJc w:val="left"/>
      <w:pPr>
        <w:ind w:left="3600" w:hanging="360"/>
      </w:pPr>
      <w:rPr>
        <w:rFonts w:ascii="Courier New" w:hAnsi="Courier New" w:hint="default"/>
      </w:rPr>
    </w:lvl>
    <w:lvl w:ilvl="5" w:tplc="6966FD4A">
      <w:start w:val="1"/>
      <w:numFmt w:val="bullet"/>
      <w:lvlText w:val=""/>
      <w:lvlJc w:val="left"/>
      <w:pPr>
        <w:ind w:left="4320" w:hanging="360"/>
      </w:pPr>
      <w:rPr>
        <w:rFonts w:ascii="Wingdings" w:hAnsi="Wingdings" w:hint="default"/>
      </w:rPr>
    </w:lvl>
    <w:lvl w:ilvl="6" w:tplc="C1FA39C6">
      <w:start w:val="1"/>
      <w:numFmt w:val="bullet"/>
      <w:lvlText w:val=""/>
      <w:lvlJc w:val="left"/>
      <w:pPr>
        <w:ind w:left="5040" w:hanging="360"/>
      </w:pPr>
      <w:rPr>
        <w:rFonts w:ascii="Symbol" w:hAnsi="Symbol" w:hint="default"/>
      </w:rPr>
    </w:lvl>
    <w:lvl w:ilvl="7" w:tplc="E2BCE2CC">
      <w:start w:val="1"/>
      <w:numFmt w:val="bullet"/>
      <w:lvlText w:val="o"/>
      <w:lvlJc w:val="left"/>
      <w:pPr>
        <w:ind w:left="5760" w:hanging="360"/>
      </w:pPr>
      <w:rPr>
        <w:rFonts w:ascii="Courier New" w:hAnsi="Courier New" w:hint="default"/>
      </w:rPr>
    </w:lvl>
    <w:lvl w:ilvl="8" w:tplc="5854F186">
      <w:start w:val="1"/>
      <w:numFmt w:val="bullet"/>
      <w:lvlText w:val=""/>
      <w:lvlJc w:val="left"/>
      <w:pPr>
        <w:ind w:left="6480" w:hanging="360"/>
      </w:pPr>
      <w:rPr>
        <w:rFonts w:ascii="Wingdings" w:hAnsi="Wingdings" w:hint="default"/>
      </w:rPr>
    </w:lvl>
  </w:abstractNum>
  <w:abstractNum w:abstractNumId="11" w15:restartNumberingAfterBreak="0">
    <w:nsid w:val="61252459"/>
    <w:multiLevelType w:val="hybridMultilevel"/>
    <w:tmpl w:val="8F5662C8"/>
    <w:lvl w:ilvl="0" w:tplc="130C3870">
      <w:start w:val="1"/>
      <w:numFmt w:val="bullet"/>
      <w:lvlText w:val="-"/>
      <w:lvlJc w:val="left"/>
      <w:pPr>
        <w:ind w:left="720" w:hanging="360"/>
      </w:pPr>
      <w:rPr>
        <w:rFonts w:ascii="Aptos" w:hAnsi="Aptos" w:hint="default"/>
      </w:rPr>
    </w:lvl>
    <w:lvl w:ilvl="1" w:tplc="7AFA48BA">
      <w:start w:val="1"/>
      <w:numFmt w:val="bullet"/>
      <w:lvlText w:val="o"/>
      <w:lvlJc w:val="left"/>
      <w:pPr>
        <w:ind w:left="1440" w:hanging="360"/>
      </w:pPr>
      <w:rPr>
        <w:rFonts w:ascii="Courier New" w:hAnsi="Courier New" w:hint="default"/>
      </w:rPr>
    </w:lvl>
    <w:lvl w:ilvl="2" w:tplc="8BB41856">
      <w:start w:val="1"/>
      <w:numFmt w:val="bullet"/>
      <w:lvlText w:val=""/>
      <w:lvlJc w:val="left"/>
      <w:pPr>
        <w:ind w:left="2160" w:hanging="360"/>
      </w:pPr>
      <w:rPr>
        <w:rFonts w:ascii="Wingdings" w:hAnsi="Wingdings" w:hint="default"/>
      </w:rPr>
    </w:lvl>
    <w:lvl w:ilvl="3" w:tplc="00923EB8">
      <w:start w:val="1"/>
      <w:numFmt w:val="bullet"/>
      <w:lvlText w:val=""/>
      <w:lvlJc w:val="left"/>
      <w:pPr>
        <w:ind w:left="2880" w:hanging="360"/>
      </w:pPr>
      <w:rPr>
        <w:rFonts w:ascii="Symbol" w:hAnsi="Symbol" w:hint="default"/>
      </w:rPr>
    </w:lvl>
    <w:lvl w:ilvl="4" w:tplc="71E87566">
      <w:start w:val="1"/>
      <w:numFmt w:val="bullet"/>
      <w:lvlText w:val="o"/>
      <w:lvlJc w:val="left"/>
      <w:pPr>
        <w:ind w:left="3600" w:hanging="360"/>
      </w:pPr>
      <w:rPr>
        <w:rFonts w:ascii="Courier New" w:hAnsi="Courier New" w:hint="default"/>
      </w:rPr>
    </w:lvl>
    <w:lvl w:ilvl="5" w:tplc="25C2E3D6">
      <w:start w:val="1"/>
      <w:numFmt w:val="bullet"/>
      <w:lvlText w:val=""/>
      <w:lvlJc w:val="left"/>
      <w:pPr>
        <w:ind w:left="4320" w:hanging="360"/>
      </w:pPr>
      <w:rPr>
        <w:rFonts w:ascii="Wingdings" w:hAnsi="Wingdings" w:hint="default"/>
      </w:rPr>
    </w:lvl>
    <w:lvl w:ilvl="6" w:tplc="243EB516">
      <w:start w:val="1"/>
      <w:numFmt w:val="bullet"/>
      <w:lvlText w:val=""/>
      <w:lvlJc w:val="left"/>
      <w:pPr>
        <w:ind w:left="5040" w:hanging="360"/>
      </w:pPr>
      <w:rPr>
        <w:rFonts w:ascii="Symbol" w:hAnsi="Symbol" w:hint="default"/>
      </w:rPr>
    </w:lvl>
    <w:lvl w:ilvl="7" w:tplc="819CCF84">
      <w:start w:val="1"/>
      <w:numFmt w:val="bullet"/>
      <w:lvlText w:val="o"/>
      <w:lvlJc w:val="left"/>
      <w:pPr>
        <w:ind w:left="5760" w:hanging="360"/>
      </w:pPr>
      <w:rPr>
        <w:rFonts w:ascii="Courier New" w:hAnsi="Courier New" w:hint="default"/>
      </w:rPr>
    </w:lvl>
    <w:lvl w:ilvl="8" w:tplc="91AC0F56">
      <w:start w:val="1"/>
      <w:numFmt w:val="bullet"/>
      <w:lvlText w:val=""/>
      <w:lvlJc w:val="left"/>
      <w:pPr>
        <w:ind w:left="6480" w:hanging="360"/>
      </w:pPr>
      <w:rPr>
        <w:rFonts w:ascii="Wingdings" w:hAnsi="Wingdings" w:hint="default"/>
      </w:rPr>
    </w:lvl>
  </w:abstractNum>
  <w:abstractNum w:abstractNumId="12" w15:restartNumberingAfterBreak="0">
    <w:nsid w:val="6308C5B0"/>
    <w:multiLevelType w:val="hybridMultilevel"/>
    <w:tmpl w:val="6F36E55E"/>
    <w:lvl w:ilvl="0" w:tplc="C2A4ABB4">
      <w:start w:val="1"/>
      <w:numFmt w:val="bullet"/>
      <w:lvlText w:val="-"/>
      <w:lvlJc w:val="left"/>
      <w:pPr>
        <w:ind w:left="720" w:hanging="360"/>
      </w:pPr>
      <w:rPr>
        <w:rFonts w:ascii="Aptos" w:hAnsi="Aptos" w:hint="default"/>
      </w:rPr>
    </w:lvl>
    <w:lvl w:ilvl="1" w:tplc="86B2DB3E">
      <w:start w:val="1"/>
      <w:numFmt w:val="bullet"/>
      <w:lvlText w:val="o"/>
      <w:lvlJc w:val="left"/>
      <w:pPr>
        <w:ind w:left="1440" w:hanging="360"/>
      </w:pPr>
      <w:rPr>
        <w:rFonts w:ascii="Courier New" w:hAnsi="Courier New" w:hint="default"/>
      </w:rPr>
    </w:lvl>
    <w:lvl w:ilvl="2" w:tplc="5C801B06">
      <w:start w:val="1"/>
      <w:numFmt w:val="bullet"/>
      <w:lvlText w:val=""/>
      <w:lvlJc w:val="left"/>
      <w:pPr>
        <w:ind w:left="2160" w:hanging="360"/>
      </w:pPr>
      <w:rPr>
        <w:rFonts w:ascii="Wingdings" w:hAnsi="Wingdings" w:hint="default"/>
      </w:rPr>
    </w:lvl>
    <w:lvl w:ilvl="3" w:tplc="2660B002">
      <w:start w:val="1"/>
      <w:numFmt w:val="bullet"/>
      <w:lvlText w:val=""/>
      <w:lvlJc w:val="left"/>
      <w:pPr>
        <w:ind w:left="2880" w:hanging="360"/>
      </w:pPr>
      <w:rPr>
        <w:rFonts w:ascii="Symbol" w:hAnsi="Symbol" w:hint="default"/>
      </w:rPr>
    </w:lvl>
    <w:lvl w:ilvl="4" w:tplc="F2A8B73A">
      <w:start w:val="1"/>
      <w:numFmt w:val="bullet"/>
      <w:lvlText w:val="o"/>
      <w:lvlJc w:val="left"/>
      <w:pPr>
        <w:ind w:left="3600" w:hanging="360"/>
      </w:pPr>
      <w:rPr>
        <w:rFonts w:ascii="Courier New" w:hAnsi="Courier New" w:hint="default"/>
      </w:rPr>
    </w:lvl>
    <w:lvl w:ilvl="5" w:tplc="CAF23B20">
      <w:start w:val="1"/>
      <w:numFmt w:val="bullet"/>
      <w:lvlText w:val=""/>
      <w:lvlJc w:val="left"/>
      <w:pPr>
        <w:ind w:left="4320" w:hanging="360"/>
      </w:pPr>
      <w:rPr>
        <w:rFonts w:ascii="Wingdings" w:hAnsi="Wingdings" w:hint="default"/>
      </w:rPr>
    </w:lvl>
    <w:lvl w:ilvl="6" w:tplc="A2983ED0">
      <w:start w:val="1"/>
      <w:numFmt w:val="bullet"/>
      <w:lvlText w:val=""/>
      <w:lvlJc w:val="left"/>
      <w:pPr>
        <w:ind w:left="5040" w:hanging="360"/>
      </w:pPr>
      <w:rPr>
        <w:rFonts w:ascii="Symbol" w:hAnsi="Symbol" w:hint="default"/>
      </w:rPr>
    </w:lvl>
    <w:lvl w:ilvl="7" w:tplc="0E88C8A0">
      <w:start w:val="1"/>
      <w:numFmt w:val="bullet"/>
      <w:lvlText w:val="o"/>
      <w:lvlJc w:val="left"/>
      <w:pPr>
        <w:ind w:left="5760" w:hanging="360"/>
      </w:pPr>
      <w:rPr>
        <w:rFonts w:ascii="Courier New" w:hAnsi="Courier New" w:hint="default"/>
      </w:rPr>
    </w:lvl>
    <w:lvl w:ilvl="8" w:tplc="3274D798">
      <w:start w:val="1"/>
      <w:numFmt w:val="bullet"/>
      <w:lvlText w:val=""/>
      <w:lvlJc w:val="left"/>
      <w:pPr>
        <w:ind w:left="6480" w:hanging="360"/>
      </w:pPr>
      <w:rPr>
        <w:rFonts w:ascii="Wingdings" w:hAnsi="Wingdings" w:hint="default"/>
      </w:rPr>
    </w:lvl>
  </w:abstractNum>
  <w:abstractNum w:abstractNumId="13" w15:restartNumberingAfterBreak="0">
    <w:nsid w:val="6824D798"/>
    <w:multiLevelType w:val="hybridMultilevel"/>
    <w:tmpl w:val="E580EB62"/>
    <w:lvl w:ilvl="0" w:tplc="A6C20806">
      <w:start w:val="1"/>
      <w:numFmt w:val="bullet"/>
      <w:lvlText w:val="-"/>
      <w:lvlJc w:val="left"/>
      <w:pPr>
        <w:ind w:left="720" w:hanging="360"/>
      </w:pPr>
      <w:rPr>
        <w:rFonts w:ascii="Aptos" w:hAnsi="Aptos" w:hint="default"/>
      </w:rPr>
    </w:lvl>
    <w:lvl w:ilvl="1" w:tplc="0B7C0570">
      <w:start w:val="1"/>
      <w:numFmt w:val="bullet"/>
      <w:lvlText w:val="o"/>
      <w:lvlJc w:val="left"/>
      <w:pPr>
        <w:ind w:left="1440" w:hanging="360"/>
      </w:pPr>
      <w:rPr>
        <w:rFonts w:ascii="Courier New" w:hAnsi="Courier New" w:hint="default"/>
      </w:rPr>
    </w:lvl>
    <w:lvl w:ilvl="2" w:tplc="D2940B96">
      <w:start w:val="1"/>
      <w:numFmt w:val="bullet"/>
      <w:lvlText w:val=""/>
      <w:lvlJc w:val="left"/>
      <w:pPr>
        <w:ind w:left="2160" w:hanging="360"/>
      </w:pPr>
      <w:rPr>
        <w:rFonts w:ascii="Wingdings" w:hAnsi="Wingdings" w:hint="default"/>
      </w:rPr>
    </w:lvl>
    <w:lvl w:ilvl="3" w:tplc="BEE032AC">
      <w:start w:val="1"/>
      <w:numFmt w:val="bullet"/>
      <w:lvlText w:val=""/>
      <w:lvlJc w:val="left"/>
      <w:pPr>
        <w:ind w:left="2880" w:hanging="360"/>
      </w:pPr>
      <w:rPr>
        <w:rFonts w:ascii="Symbol" w:hAnsi="Symbol" w:hint="default"/>
      </w:rPr>
    </w:lvl>
    <w:lvl w:ilvl="4" w:tplc="4FFA98A4">
      <w:start w:val="1"/>
      <w:numFmt w:val="bullet"/>
      <w:lvlText w:val="o"/>
      <w:lvlJc w:val="left"/>
      <w:pPr>
        <w:ind w:left="3600" w:hanging="360"/>
      </w:pPr>
      <w:rPr>
        <w:rFonts w:ascii="Courier New" w:hAnsi="Courier New" w:hint="default"/>
      </w:rPr>
    </w:lvl>
    <w:lvl w:ilvl="5" w:tplc="4F723902">
      <w:start w:val="1"/>
      <w:numFmt w:val="bullet"/>
      <w:lvlText w:val=""/>
      <w:lvlJc w:val="left"/>
      <w:pPr>
        <w:ind w:left="4320" w:hanging="360"/>
      </w:pPr>
      <w:rPr>
        <w:rFonts w:ascii="Wingdings" w:hAnsi="Wingdings" w:hint="default"/>
      </w:rPr>
    </w:lvl>
    <w:lvl w:ilvl="6" w:tplc="5D642AAE">
      <w:start w:val="1"/>
      <w:numFmt w:val="bullet"/>
      <w:lvlText w:val=""/>
      <w:lvlJc w:val="left"/>
      <w:pPr>
        <w:ind w:left="5040" w:hanging="360"/>
      </w:pPr>
      <w:rPr>
        <w:rFonts w:ascii="Symbol" w:hAnsi="Symbol" w:hint="default"/>
      </w:rPr>
    </w:lvl>
    <w:lvl w:ilvl="7" w:tplc="AEF0B8F4">
      <w:start w:val="1"/>
      <w:numFmt w:val="bullet"/>
      <w:lvlText w:val="o"/>
      <w:lvlJc w:val="left"/>
      <w:pPr>
        <w:ind w:left="5760" w:hanging="360"/>
      </w:pPr>
      <w:rPr>
        <w:rFonts w:ascii="Courier New" w:hAnsi="Courier New" w:hint="default"/>
      </w:rPr>
    </w:lvl>
    <w:lvl w:ilvl="8" w:tplc="09EC021E">
      <w:start w:val="1"/>
      <w:numFmt w:val="bullet"/>
      <w:lvlText w:val=""/>
      <w:lvlJc w:val="left"/>
      <w:pPr>
        <w:ind w:left="6480" w:hanging="360"/>
      </w:pPr>
      <w:rPr>
        <w:rFonts w:ascii="Wingdings" w:hAnsi="Wingdings" w:hint="default"/>
      </w:rPr>
    </w:lvl>
  </w:abstractNum>
  <w:abstractNum w:abstractNumId="14" w15:restartNumberingAfterBreak="0">
    <w:nsid w:val="7104CCDB"/>
    <w:multiLevelType w:val="hybridMultilevel"/>
    <w:tmpl w:val="7D4C6B5C"/>
    <w:lvl w:ilvl="0" w:tplc="05365AF6">
      <w:start w:val="1"/>
      <w:numFmt w:val="bullet"/>
      <w:lvlText w:val="-"/>
      <w:lvlJc w:val="left"/>
      <w:pPr>
        <w:ind w:left="1080" w:hanging="360"/>
      </w:pPr>
      <w:rPr>
        <w:rFonts w:ascii="Aptos" w:hAnsi="Aptos" w:hint="default"/>
      </w:rPr>
    </w:lvl>
    <w:lvl w:ilvl="1" w:tplc="EC1EC4E2">
      <w:start w:val="1"/>
      <w:numFmt w:val="bullet"/>
      <w:lvlText w:val="o"/>
      <w:lvlJc w:val="left"/>
      <w:pPr>
        <w:ind w:left="1800" w:hanging="360"/>
      </w:pPr>
      <w:rPr>
        <w:rFonts w:ascii="Courier New" w:hAnsi="Courier New" w:hint="default"/>
      </w:rPr>
    </w:lvl>
    <w:lvl w:ilvl="2" w:tplc="B6D0CB72">
      <w:start w:val="1"/>
      <w:numFmt w:val="bullet"/>
      <w:lvlText w:val=""/>
      <w:lvlJc w:val="left"/>
      <w:pPr>
        <w:ind w:left="2520" w:hanging="360"/>
      </w:pPr>
      <w:rPr>
        <w:rFonts w:ascii="Wingdings" w:hAnsi="Wingdings" w:hint="default"/>
      </w:rPr>
    </w:lvl>
    <w:lvl w:ilvl="3" w:tplc="6BAAD3BC">
      <w:start w:val="1"/>
      <w:numFmt w:val="bullet"/>
      <w:lvlText w:val=""/>
      <w:lvlJc w:val="left"/>
      <w:pPr>
        <w:ind w:left="3240" w:hanging="360"/>
      </w:pPr>
      <w:rPr>
        <w:rFonts w:ascii="Symbol" w:hAnsi="Symbol" w:hint="default"/>
      </w:rPr>
    </w:lvl>
    <w:lvl w:ilvl="4" w:tplc="5AD8827A">
      <w:start w:val="1"/>
      <w:numFmt w:val="bullet"/>
      <w:lvlText w:val="o"/>
      <w:lvlJc w:val="left"/>
      <w:pPr>
        <w:ind w:left="3960" w:hanging="360"/>
      </w:pPr>
      <w:rPr>
        <w:rFonts w:ascii="Courier New" w:hAnsi="Courier New" w:hint="default"/>
      </w:rPr>
    </w:lvl>
    <w:lvl w:ilvl="5" w:tplc="19647754">
      <w:start w:val="1"/>
      <w:numFmt w:val="bullet"/>
      <w:lvlText w:val=""/>
      <w:lvlJc w:val="left"/>
      <w:pPr>
        <w:ind w:left="4680" w:hanging="360"/>
      </w:pPr>
      <w:rPr>
        <w:rFonts w:ascii="Wingdings" w:hAnsi="Wingdings" w:hint="default"/>
      </w:rPr>
    </w:lvl>
    <w:lvl w:ilvl="6" w:tplc="3FBA50C4">
      <w:start w:val="1"/>
      <w:numFmt w:val="bullet"/>
      <w:lvlText w:val=""/>
      <w:lvlJc w:val="left"/>
      <w:pPr>
        <w:ind w:left="5400" w:hanging="360"/>
      </w:pPr>
      <w:rPr>
        <w:rFonts w:ascii="Symbol" w:hAnsi="Symbol" w:hint="default"/>
      </w:rPr>
    </w:lvl>
    <w:lvl w:ilvl="7" w:tplc="CE2CF070">
      <w:start w:val="1"/>
      <w:numFmt w:val="bullet"/>
      <w:lvlText w:val="o"/>
      <w:lvlJc w:val="left"/>
      <w:pPr>
        <w:ind w:left="6120" w:hanging="360"/>
      </w:pPr>
      <w:rPr>
        <w:rFonts w:ascii="Courier New" w:hAnsi="Courier New" w:hint="default"/>
      </w:rPr>
    </w:lvl>
    <w:lvl w:ilvl="8" w:tplc="78B8BAE4">
      <w:start w:val="1"/>
      <w:numFmt w:val="bullet"/>
      <w:lvlText w:val=""/>
      <w:lvlJc w:val="left"/>
      <w:pPr>
        <w:ind w:left="6840" w:hanging="360"/>
      </w:pPr>
      <w:rPr>
        <w:rFonts w:ascii="Wingdings" w:hAnsi="Wingdings" w:hint="default"/>
      </w:rPr>
    </w:lvl>
  </w:abstractNum>
  <w:abstractNum w:abstractNumId="15" w15:restartNumberingAfterBreak="0">
    <w:nsid w:val="79CB5A3D"/>
    <w:multiLevelType w:val="hybridMultilevel"/>
    <w:tmpl w:val="2E828706"/>
    <w:lvl w:ilvl="0" w:tplc="6742B388">
      <w:start w:val="1"/>
      <w:numFmt w:val="bullet"/>
      <w:lvlText w:val="-"/>
      <w:lvlJc w:val="left"/>
      <w:pPr>
        <w:ind w:left="720" w:hanging="360"/>
      </w:pPr>
      <w:rPr>
        <w:rFonts w:ascii="Aptos" w:hAnsi="Aptos" w:hint="default"/>
      </w:rPr>
    </w:lvl>
    <w:lvl w:ilvl="1" w:tplc="F15261CC">
      <w:start w:val="1"/>
      <w:numFmt w:val="bullet"/>
      <w:lvlText w:val="o"/>
      <w:lvlJc w:val="left"/>
      <w:pPr>
        <w:ind w:left="1440" w:hanging="360"/>
      </w:pPr>
      <w:rPr>
        <w:rFonts w:ascii="Courier New" w:hAnsi="Courier New" w:hint="default"/>
      </w:rPr>
    </w:lvl>
    <w:lvl w:ilvl="2" w:tplc="2416C9F6">
      <w:start w:val="1"/>
      <w:numFmt w:val="bullet"/>
      <w:lvlText w:val=""/>
      <w:lvlJc w:val="left"/>
      <w:pPr>
        <w:ind w:left="2160" w:hanging="360"/>
      </w:pPr>
      <w:rPr>
        <w:rFonts w:ascii="Wingdings" w:hAnsi="Wingdings" w:hint="default"/>
      </w:rPr>
    </w:lvl>
    <w:lvl w:ilvl="3" w:tplc="7D28F13C">
      <w:start w:val="1"/>
      <w:numFmt w:val="bullet"/>
      <w:lvlText w:val=""/>
      <w:lvlJc w:val="left"/>
      <w:pPr>
        <w:ind w:left="2880" w:hanging="360"/>
      </w:pPr>
      <w:rPr>
        <w:rFonts w:ascii="Symbol" w:hAnsi="Symbol" w:hint="default"/>
      </w:rPr>
    </w:lvl>
    <w:lvl w:ilvl="4" w:tplc="4F2A7A4A">
      <w:start w:val="1"/>
      <w:numFmt w:val="bullet"/>
      <w:lvlText w:val="o"/>
      <w:lvlJc w:val="left"/>
      <w:pPr>
        <w:ind w:left="3600" w:hanging="360"/>
      </w:pPr>
      <w:rPr>
        <w:rFonts w:ascii="Courier New" w:hAnsi="Courier New" w:hint="default"/>
      </w:rPr>
    </w:lvl>
    <w:lvl w:ilvl="5" w:tplc="F8600E68">
      <w:start w:val="1"/>
      <w:numFmt w:val="bullet"/>
      <w:lvlText w:val=""/>
      <w:lvlJc w:val="left"/>
      <w:pPr>
        <w:ind w:left="4320" w:hanging="360"/>
      </w:pPr>
      <w:rPr>
        <w:rFonts w:ascii="Wingdings" w:hAnsi="Wingdings" w:hint="default"/>
      </w:rPr>
    </w:lvl>
    <w:lvl w:ilvl="6" w:tplc="F8B61474">
      <w:start w:val="1"/>
      <w:numFmt w:val="bullet"/>
      <w:lvlText w:val=""/>
      <w:lvlJc w:val="left"/>
      <w:pPr>
        <w:ind w:left="5040" w:hanging="360"/>
      </w:pPr>
      <w:rPr>
        <w:rFonts w:ascii="Symbol" w:hAnsi="Symbol" w:hint="default"/>
      </w:rPr>
    </w:lvl>
    <w:lvl w:ilvl="7" w:tplc="0BCAC1E8">
      <w:start w:val="1"/>
      <w:numFmt w:val="bullet"/>
      <w:lvlText w:val="o"/>
      <w:lvlJc w:val="left"/>
      <w:pPr>
        <w:ind w:left="5760" w:hanging="360"/>
      </w:pPr>
      <w:rPr>
        <w:rFonts w:ascii="Courier New" w:hAnsi="Courier New" w:hint="default"/>
      </w:rPr>
    </w:lvl>
    <w:lvl w:ilvl="8" w:tplc="92044740">
      <w:start w:val="1"/>
      <w:numFmt w:val="bullet"/>
      <w:lvlText w:val=""/>
      <w:lvlJc w:val="left"/>
      <w:pPr>
        <w:ind w:left="6480" w:hanging="360"/>
      </w:pPr>
      <w:rPr>
        <w:rFonts w:ascii="Wingdings" w:hAnsi="Wingdings" w:hint="default"/>
      </w:rPr>
    </w:lvl>
  </w:abstractNum>
  <w:num w:numId="1" w16cid:durableId="682056021">
    <w:abstractNumId w:val="3"/>
  </w:num>
  <w:num w:numId="2" w16cid:durableId="1500343610">
    <w:abstractNumId w:val="7"/>
  </w:num>
  <w:num w:numId="3" w16cid:durableId="1743716947">
    <w:abstractNumId w:val="4"/>
  </w:num>
  <w:num w:numId="4" w16cid:durableId="871723511">
    <w:abstractNumId w:val="5"/>
  </w:num>
  <w:num w:numId="5" w16cid:durableId="1611089344">
    <w:abstractNumId w:val="9"/>
  </w:num>
  <w:num w:numId="6" w16cid:durableId="1940679992">
    <w:abstractNumId w:val="6"/>
  </w:num>
  <w:num w:numId="7" w16cid:durableId="2093309716">
    <w:abstractNumId w:val="10"/>
  </w:num>
  <w:num w:numId="8" w16cid:durableId="2120759740">
    <w:abstractNumId w:val="15"/>
  </w:num>
  <w:num w:numId="9" w16cid:durableId="1058284150">
    <w:abstractNumId w:val="12"/>
  </w:num>
  <w:num w:numId="10" w16cid:durableId="693503020">
    <w:abstractNumId w:val="14"/>
  </w:num>
  <w:num w:numId="11" w16cid:durableId="2120251552">
    <w:abstractNumId w:val="0"/>
  </w:num>
  <w:num w:numId="12" w16cid:durableId="578367780">
    <w:abstractNumId w:val="13"/>
  </w:num>
  <w:num w:numId="13" w16cid:durableId="1856339010">
    <w:abstractNumId w:val="11"/>
  </w:num>
  <w:num w:numId="14" w16cid:durableId="719088462">
    <w:abstractNumId w:val="1"/>
  </w:num>
  <w:num w:numId="15" w16cid:durableId="1733966765">
    <w:abstractNumId w:val="2"/>
  </w:num>
  <w:num w:numId="16" w16cid:durableId="1696615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formatting="1" w:enforcement="1" w:cryptProviderType="rsaAES" w:cryptAlgorithmClass="hash" w:cryptAlgorithmType="typeAny" w:cryptAlgorithmSid="14" w:cryptSpinCount="100000" w:hash="dgu2LZJtkckiXQNJsN5dqMT8NoI/lgU82ZZUrGJw1pnm+6DTSVt6Xpp8LpuX8gVgo8d8IbKV3Y67HEiIw/hqfg==" w:salt="lttN0fdhMyVP3zO5Jpdn8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19"/>
    <w:rsid w:val="000009C9"/>
    <w:rsid w:val="00012026"/>
    <w:rsid w:val="0002272E"/>
    <w:rsid w:val="00033FD8"/>
    <w:rsid w:val="00036CA8"/>
    <w:rsid w:val="00043721"/>
    <w:rsid w:val="00043981"/>
    <w:rsid w:val="0004780A"/>
    <w:rsid w:val="0005412A"/>
    <w:rsid w:val="00054B5E"/>
    <w:rsid w:val="000625F0"/>
    <w:rsid w:val="00064CC6"/>
    <w:rsid w:val="00065461"/>
    <w:rsid w:val="000657CB"/>
    <w:rsid w:val="000675F2"/>
    <w:rsid w:val="00067B88"/>
    <w:rsid w:val="00071CC7"/>
    <w:rsid w:val="00071CE1"/>
    <w:rsid w:val="00071E6B"/>
    <w:rsid w:val="00071F82"/>
    <w:rsid w:val="00072AD7"/>
    <w:rsid w:val="0008117D"/>
    <w:rsid w:val="00083842"/>
    <w:rsid w:val="00086317"/>
    <w:rsid w:val="00092041"/>
    <w:rsid w:val="000922C8"/>
    <w:rsid w:val="000927AB"/>
    <w:rsid w:val="000A41AE"/>
    <w:rsid w:val="000A7345"/>
    <w:rsid w:val="000B0A69"/>
    <w:rsid w:val="000B33A1"/>
    <w:rsid w:val="000B51D8"/>
    <w:rsid w:val="000C66C4"/>
    <w:rsid w:val="000E3C54"/>
    <w:rsid w:val="000E4669"/>
    <w:rsid w:val="000F357D"/>
    <w:rsid w:val="00100551"/>
    <w:rsid w:val="001022CC"/>
    <w:rsid w:val="0010645F"/>
    <w:rsid w:val="00110CF9"/>
    <w:rsid w:val="00120543"/>
    <w:rsid w:val="00120D00"/>
    <w:rsid w:val="00121BBF"/>
    <w:rsid w:val="00122ADB"/>
    <w:rsid w:val="001305B4"/>
    <w:rsid w:val="00133AB5"/>
    <w:rsid w:val="001442D9"/>
    <w:rsid w:val="00145F50"/>
    <w:rsid w:val="00165C3E"/>
    <w:rsid w:val="00172F01"/>
    <w:rsid w:val="00173A04"/>
    <w:rsid w:val="00175747"/>
    <w:rsid w:val="00185007"/>
    <w:rsid w:val="001933FC"/>
    <w:rsid w:val="001A5191"/>
    <w:rsid w:val="001A5598"/>
    <w:rsid w:val="001B4693"/>
    <w:rsid w:val="001B76DF"/>
    <w:rsid w:val="001C295A"/>
    <w:rsid w:val="001D4E31"/>
    <w:rsid w:val="001D6536"/>
    <w:rsid w:val="001E3DA3"/>
    <w:rsid w:val="001E5403"/>
    <w:rsid w:val="001E7F6B"/>
    <w:rsid w:val="00200B64"/>
    <w:rsid w:val="00212B89"/>
    <w:rsid w:val="00213403"/>
    <w:rsid w:val="002216EF"/>
    <w:rsid w:val="00232310"/>
    <w:rsid w:val="00233224"/>
    <w:rsid w:val="0023371B"/>
    <w:rsid w:val="00240CFC"/>
    <w:rsid w:val="00245928"/>
    <w:rsid w:val="002651C9"/>
    <w:rsid w:val="002663C5"/>
    <w:rsid w:val="00267720"/>
    <w:rsid w:val="00280DA5"/>
    <w:rsid w:val="00280F94"/>
    <w:rsid w:val="002825BC"/>
    <w:rsid w:val="00283C32"/>
    <w:rsid w:val="0029515C"/>
    <w:rsid w:val="002C4B19"/>
    <w:rsid w:val="002C6E1B"/>
    <w:rsid w:val="002C7C55"/>
    <w:rsid w:val="002F0087"/>
    <w:rsid w:val="002F2216"/>
    <w:rsid w:val="002F285D"/>
    <w:rsid w:val="002F2896"/>
    <w:rsid w:val="002F5B0C"/>
    <w:rsid w:val="002F65B5"/>
    <w:rsid w:val="003009C2"/>
    <w:rsid w:val="003055BF"/>
    <w:rsid w:val="00312ACD"/>
    <w:rsid w:val="003172C7"/>
    <w:rsid w:val="00326189"/>
    <w:rsid w:val="003274BB"/>
    <w:rsid w:val="003315B7"/>
    <w:rsid w:val="00336915"/>
    <w:rsid w:val="00342A1E"/>
    <w:rsid w:val="00343D3E"/>
    <w:rsid w:val="00352511"/>
    <w:rsid w:val="00353DA7"/>
    <w:rsid w:val="003575F2"/>
    <w:rsid w:val="00371241"/>
    <w:rsid w:val="00371F86"/>
    <w:rsid w:val="00373269"/>
    <w:rsid w:val="00376009"/>
    <w:rsid w:val="003772BE"/>
    <w:rsid w:val="00382131"/>
    <w:rsid w:val="00393622"/>
    <w:rsid w:val="00397C5F"/>
    <w:rsid w:val="003A46B5"/>
    <w:rsid w:val="003A7A72"/>
    <w:rsid w:val="003A7C66"/>
    <w:rsid w:val="003C0569"/>
    <w:rsid w:val="003C0F00"/>
    <w:rsid w:val="003C1338"/>
    <w:rsid w:val="003C322B"/>
    <w:rsid w:val="003C3DF9"/>
    <w:rsid w:val="003C3EDC"/>
    <w:rsid w:val="003C70AF"/>
    <w:rsid w:val="003C7A78"/>
    <w:rsid w:val="003C7C4A"/>
    <w:rsid w:val="003D4A41"/>
    <w:rsid w:val="003E17DC"/>
    <w:rsid w:val="003E33D9"/>
    <w:rsid w:val="003E6B3A"/>
    <w:rsid w:val="003F2006"/>
    <w:rsid w:val="003F76E9"/>
    <w:rsid w:val="0041020B"/>
    <w:rsid w:val="00412AD9"/>
    <w:rsid w:val="00413625"/>
    <w:rsid w:val="00417B17"/>
    <w:rsid w:val="00426C84"/>
    <w:rsid w:val="00427F95"/>
    <w:rsid w:val="00431A46"/>
    <w:rsid w:val="0043250B"/>
    <w:rsid w:val="00436CB8"/>
    <w:rsid w:val="00440DB0"/>
    <w:rsid w:val="00446E10"/>
    <w:rsid w:val="00453F12"/>
    <w:rsid w:val="00464544"/>
    <w:rsid w:val="00465344"/>
    <w:rsid w:val="0047111B"/>
    <w:rsid w:val="00472DA0"/>
    <w:rsid w:val="004774CD"/>
    <w:rsid w:val="00477B57"/>
    <w:rsid w:val="004808E5"/>
    <w:rsid w:val="004858EC"/>
    <w:rsid w:val="00491C78"/>
    <w:rsid w:val="0049590F"/>
    <w:rsid w:val="004B00C6"/>
    <w:rsid w:val="004B271B"/>
    <w:rsid w:val="004B338B"/>
    <w:rsid w:val="004B5448"/>
    <w:rsid w:val="004B7316"/>
    <w:rsid w:val="004C3968"/>
    <w:rsid w:val="004C3AC8"/>
    <w:rsid w:val="004C3F9A"/>
    <w:rsid w:val="004D75E3"/>
    <w:rsid w:val="004E20DD"/>
    <w:rsid w:val="004E3059"/>
    <w:rsid w:val="004E4F4D"/>
    <w:rsid w:val="004F1CB4"/>
    <w:rsid w:val="004F28C4"/>
    <w:rsid w:val="004F43B6"/>
    <w:rsid w:val="00500E55"/>
    <w:rsid w:val="00506403"/>
    <w:rsid w:val="00513993"/>
    <w:rsid w:val="00515AF2"/>
    <w:rsid w:val="00522859"/>
    <w:rsid w:val="005255F4"/>
    <w:rsid w:val="005302FA"/>
    <w:rsid w:val="005309E0"/>
    <w:rsid w:val="00537868"/>
    <w:rsid w:val="005430BE"/>
    <w:rsid w:val="00551F17"/>
    <w:rsid w:val="00552C14"/>
    <w:rsid w:val="00554718"/>
    <w:rsid w:val="005562CC"/>
    <w:rsid w:val="00560C68"/>
    <w:rsid w:val="00570BB4"/>
    <w:rsid w:val="00571E3E"/>
    <w:rsid w:val="00572367"/>
    <w:rsid w:val="005761B6"/>
    <w:rsid w:val="00580AC2"/>
    <w:rsid w:val="00581D13"/>
    <w:rsid w:val="005856C3"/>
    <w:rsid w:val="00585A19"/>
    <w:rsid w:val="00590FDA"/>
    <w:rsid w:val="00594A42"/>
    <w:rsid w:val="005B24F7"/>
    <w:rsid w:val="005B2DCA"/>
    <w:rsid w:val="005B5CC9"/>
    <w:rsid w:val="005B7DF3"/>
    <w:rsid w:val="005C2C7D"/>
    <w:rsid w:val="005C349F"/>
    <w:rsid w:val="005C34D8"/>
    <w:rsid w:val="005D3149"/>
    <w:rsid w:val="005D3177"/>
    <w:rsid w:val="005D4FA8"/>
    <w:rsid w:val="005D7078"/>
    <w:rsid w:val="005E05C5"/>
    <w:rsid w:val="005E1124"/>
    <w:rsid w:val="005E4683"/>
    <w:rsid w:val="005F044B"/>
    <w:rsid w:val="005F36D4"/>
    <w:rsid w:val="005F7B30"/>
    <w:rsid w:val="005F7C5D"/>
    <w:rsid w:val="006114F7"/>
    <w:rsid w:val="00612B1E"/>
    <w:rsid w:val="00622356"/>
    <w:rsid w:val="00637688"/>
    <w:rsid w:val="00640375"/>
    <w:rsid w:val="00640A04"/>
    <w:rsid w:val="00640ED8"/>
    <w:rsid w:val="006411DB"/>
    <w:rsid w:val="0064699B"/>
    <w:rsid w:val="00652DA2"/>
    <w:rsid w:val="00657D1B"/>
    <w:rsid w:val="00661E2B"/>
    <w:rsid w:val="00663D25"/>
    <w:rsid w:val="00667A64"/>
    <w:rsid w:val="00671D6E"/>
    <w:rsid w:val="00675F6D"/>
    <w:rsid w:val="00676E31"/>
    <w:rsid w:val="0067700F"/>
    <w:rsid w:val="00685B2F"/>
    <w:rsid w:val="00687F54"/>
    <w:rsid w:val="0069069B"/>
    <w:rsid w:val="006936DE"/>
    <w:rsid w:val="00695C6D"/>
    <w:rsid w:val="006A65B2"/>
    <w:rsid w:val="006A7449"/>
    <w:rsid w:val="006B284F"/>
    <w:rsid w:val="006B28B0"/>
    <w:rsid w:val="006B2CB0"/>
    <w:rsid w:val="006B42A9"/>
    <w:rsid w:val="006B5737"/>
    <w:rsid w:val="006C14E0"/>
    <w:rsid w:val="006C2A22"/>
    <w:rsid w:val="006C2F5C"/>
    <w:rsid w:val="006C3278"/>
    <w:rsid w:val="006D0551"/>
    <w:rsid w:val="006E115D"/>
    <w:rsid w:val="006E22EF"/>
    <w:rsid w:val="006E591B"/>
    <w:rsid w:val="006F1B83"/>
    <w:rsid w:val="00706364"/>
    <w:rsid w:val="00706C1F"/>
    <w:rsid w:val="00713E73"/>
    <w:rsid w:val="00714B5B"/>
    <w:rsid w:val="00726524"/>
    <w:rsid w:val="00731B50"/>
    <w:rsid w:val="00736AC4"/>
    <w:rsid w:val="00755BFC"/>
    <w:rsid w:val="007608FA"/>
    <w:rsid w:val="0076422E"/>
    <w:rsid w:val="0076541B"/>
    <w:rsid w:val="00773AA6"/>
    <w:rsid w:val="00774372"/>
    <w:rsid w:val="00784F48"/>
    <w:rsid w:val="00785A63"/>
    <w:rsid w:val="00790350"/>
    <w:rsid w:val="0079246B"/>
    <w:rsid w:val="00795303"/>
    <w:rsid w:val="007A13E6"/>
    <w:rsid w:val="007A2996"/>
    <w:rsid w:val="007B0D6E"/>
    <w:rsid w:val="007B128E"/>
    <w:rsid w:val="007B437D"/>
    <w:rsid w:val="007B68BD"/>
    <w:rsid w:val="007B72CB"/>
    <w:rsid w:val="007C6BA6"/>
    <w:rsid w:val="007D2B33"/>
    <w:rsid w:val="007D4632"/>
    <w:rsid w:val="007D4CBC"/>
    <w:rsid w:val="007F02CA"/>
    <w:rsid w:val="007F077D"/>
    <w:rsid w:val="007F577D"/>
    <w:rsid w:val="0080211C"/>
    <w:rsid w:val="00810C0B"/>
    <w:rsid w:val="00811873"/>
    <w:rsid w:val="00813010"/>
    <w:rsid w:val="0082571A"/>
    <w:rsid w:val="00830D4B"/>
    <w:rsid w:val="00831F62"/>
    <w:rsid w:val="008325CB"/>
    <w:rsid w:val="00832BBC"/>
    <w:rsid w:val="008346C6"/>
    <w:rsid w:val="00843B6E"/>
    <w:rsid w:val="00847A52"/>
    <w:rsid w:val="008529D8"/>
    <w:rsid w:val="0085408A"/>
    <w:rsid w:val="008643F5"/>
    <w:rsid w:val="00882B34"/>
    <w:rsid w:val="00887969"/>
    <w:rsid w:val="008942FF"/>
    <w:rsid w:val="008B7E3D"/>
    <w:rsid w:val="008C4406"/>
    <w:rsid w:val="008C5EDC"/>
    <w:rsid w:val="008D4668"/>
    <w:rsid w:val="008D4A9C"/>
    <w:rsid w:val="008E5B55"/>
    <w:rsid w:val="008E6BF0"/>
    <w:rsid w:val="008F7436"/>
    <w:rsid w:val="0090065F"/>
    <w:rsid w:val="00901854"/>
    <w:rsid w:val="00905632"/>
    <w:rsid w:val="00914B0E"/>
    <w:rsid w:val="00916FF5"/>
    <w:rsid w:val="00922AB8"/>
    <w:rsid w:val="00927850"/>
    <w:rsid w:val="00932E29"/>
    <w:rsid w:val="00933269"/>
    <w:rsid w:val="00946B40"/>
    <w:rsid w:val="0095308F"/>
    <w:rsid w:val="00954B4F"/>
    <w:rsid w:val="00960953"/>
    <w:rsid w:val="00965C25"/>
    <w:rsid w:val="0097066A"/>
    <w:rsid w:val="00976443"/>
    <w:rsid w:val="00982ABC"/>
    <w:rsid w:val="00983EC5"/>
    <w:rsid w:val="00987559"/>
    <w:rsid w:val="00995062"/>
    <w:rsid w:val="009965B2"/>
    <w:rsid w:val="00997A4E"/>
    <w:rsid w:val="009A250A"/>
    <w:rsid w:val="009A6284"/>
    <w:rsid w:val="009B70C4"/>
    <w:rsid w:val="009C2C93"/>
    <w:rsid w:val="009D44AD"/>
    <w:rsid w:val="009E05D5"/>
    <w:rsid w:val="009E0B0A"/>
    <w:rsid w:val="009E435C"/>
    <w:rsid w:val="009E46C4"/>
    <w:rsid w:val="009E6C50"/>
    <w:rsid w:val="009F4A01"/>
    <w:rsid w:val="009F58AC"/>
    <w:rsid w:val="009F7E98"/>
    <w:rsid w:val="00A076D3"/>
    <w:rsid w:val="00A12E17"/>
    <w:rsid w:val="00A13BC7"/>
    <w:rsid w:val="00A1577C"/>
    <w:rsid w:val="00A16B21"/>
    <w:rsid w:val="00A369C1"/>
    <w:rsid w:val="00A40627"/>
    <w:rsid w:val="00A4544B"/>
    <w:rsid w:val="00A45B02"/>
    <w:rsid w:val="00A4766B"/>
    <w:rsid w:val="00A64DD8"/>
    <w:rsid w:val="00A64E8D"/>
    <w:rsid w:val="00A66797"/>
    <w:rsid w:val="00A73E72"/>
    <w:rsid w:val="00A76A09"/>
    <w:rsid w:val="00A80B8E"/>
    <w:rsid w:val="00A86791"/>
    <w:rsid w:val="00A9160B"/>
    <w:rsid w:val="00A956B4"/>
    <w:rsid w:val="00AA04D1"/>
    <w:rsid w:val="00AB58A3"/>
    <w:rsid w:val="00AD6246"/>
    <w:rsid w:val="00AF1D33"/>
    <w:rsid w:val="00B0143F"/>
    <w:rsid w:val="00B024C4"/>
    <w:rsid w:val="00B0263B"/>
    <w:rsid w:val="00B0377F"/>
    <w:rsid w:val="00B03FFD"/>
    <w:rsid w:val="00B047CF"/>
    <w:rsid w:val="00B12B7C"/>
    <w:rsid w:val="00B141BB"/>
    <w:rsid w:val="00B15598"/>
    <w:rsid w:val="00B15D17"/>
    <w:rsid w:val="00B16883"/>
    <w:rsid w:val="00B265AD"/>
    <w:rsid w:val="00B33DCE"/>
    <w:rsid w:val="00B35C95"/>
    <w:rsid w:val="00B50104"/>
    <w:rsid w:val="00B5449C"/>
    <w:rsid w:val="00B618F9"/>
    <w:rsid w:val="00B6629B"/>
    <w:rsid w:val="00B672F3"/>
    <w:rsid w:val="00B7150E"/>
    <w:rsid w:val="00B74940"/>
    <w:rsid w:val="00B9394E"/>
    <w:rsid w:val="00B95EB2"/>
    <w:rsid w:val="00BA390F"/>
    <w:rsid w:val="00BC24E1"/>
    <w:rsid w:val="00BC782D"/>
    <w:rsid w:val="00BD1910"/>
    <w:rsid w:val="00BE3E00"/>
    <w:rsid w:val="00BE7378"/>
    <w:rsid w:val="00BF3E7C"/>
    <w:rsid w:val="00BF7024"/>
    <w:rsid w:val="00BF7EC6"/>
    <w:rsid w:val="00C062E6"/>
    <w:rsid w:val="00C07E29"/>
    <w:rsid w:val="00C2306A"/>
    <w:rsid w:val="00C37147"/>
    <w:rsid w:val="00C4763C"/>
    <w:rsid w:val="00C5311D"/>
    <w:rsid w:val="00C53643"/>
    <w:rsid w:val="00C64AA2"/>
    <w:rsid w:val="00C6624E"/>
    <w:rsid w:val="00C66A28"/>
    <w:rsid w:val="00C72971"/>
    <w:rsid w:val="00C775DA"/>
    <w:rsid w:val="00C80B8D"/>
    <w:rsid w:val="00C85C74"/>
    <w:rsid w:val="00C94F5E"/>
    <w:rsid w:val="00CB16E6"/>
    <w:rsid w:val="00CB395F"/>
    <w:rsid w:val="00CB7288"/>
    <w:rsid w:val="00CD614A"/>
    <w:rsid w:val="00CE1A95"/>
    <w:rsid w:val="00CE7C95"/>
    <w:rsid w:val="00CF3698"/>
    <w:rsid w:val="00CF6D11"/>
    <w:rsid w:val="00D01801"/>
    <w:rsid w:val="00D10107"/>
    <w:rsid w:val="00D16907"/>
    <w:rsid w:val="00D170CF"/>
    <w:rsid w:val="00D24AC0"/>
    <w:rsid w:val="00D32FA5"/>
    <w:rsid w:val="00D36860"/>
    <w:rsid w:val="00D41C2E"/>
    <w:rsid w:val="00D43679"/>
    <w:rsid w:val="00D453F5"/>
    <w:rsid w:val="00D53B1F"/>
    <w:rsid w:val="00D566A3"/>
    <w:rsid w:val="00D651EA"/>
    <w:rsid w:val="00D65726"/>
    <w:rsid w:val="00D7782A"/>
    <w:rsid w:val="00D8593F"/>
    <w:rsid w:val="00D85D4C"/>
    <w:rsid w:val="00D93DDD"/>
    <w:rsid w:val="00DA45EC"/>
    <w:rsid w:val="00DA7EF8"/>
    <w:rsid w:val="00DB3E18"/>
    <w:rsid w:val="00DC2A85"/>
    <w:rsid w:val="00DC4A5F"/>
    <w:rsid w:val="00DD41D1"/>
    <w:rsid w:val="00DD4253"/>
    <w:rsid w:val="00DE5C72"/>
    <w:rsid w:val="00DE60DB"/>
    <w:rsid w:val="00DF212D"/>
    <w:rsid w:val="00DF3249"/>
    <w:rsid w:val="00DF4132"/>
    <w:rsid w:val="00E0110F"/>
    <w:rsid w:val="00E02C0E"/>
    <w:rsid w:val="00E034D9"/>
    <w:rsid w:val="00E0494D"/>
    <w:rsid w:val="00E05EFC"/>
    <w:rsid w:val="00E06B9B"/>
    <w:rsid w:val="00E1255D"/>
    <w:rsid w:val="00E13C17"/>
    <w:rsid w:val="00E2447A"/>
    <w:rsid w:val="00E267A8"/>
    <w:rsid w:val="00E337BE"/>
    <w:rsid w:val="00E33D84"/>
    <w:rsid w:val="00E4016A"/>
    <w:rsid w:val="00E42AE7"/>
    <w:rsid w:val="00E42D03"/>
    <w:rsid w:val="00E478FF"/>
    <w:rsid w:val="00E47B6F"/>
    <w:rsid w:val="00E61D80"/>
    <w:rsid w:val="00E648F8"/>
    <w:rsid w:val="00E7237E"/>
    <w:rsid w:val="00E76240"/>
    <w:rsid w:val="00E77169"/>
    <w:rsid w:val="00E8467B"/>
    <w:rsid w:val="00E9730F"/>
    <w:rsid w:val="00EB3090"/>
    <w:rsid w:val="00EB4B3E"/>
    <w:rsid w:val="00EC106A"/>
    <w:rsid w:val="00EC6FB4"/>
    <w:rsid w:val="00EE1897"/>
    <w:rsid w:val="00EE318A"/>
    <w:rsid w:val="00EE661F"/>
    <w:rsid w:val="00EE694F"/>
    <w:rsid w:val="00EF383A"/>
    <w:rsid w:val="00F00647"/>
    <w:rsid w:val="00F016D8"/>
    <w:rsid w:val="00F01719"/>
    <w:rsid w:val="00F03017"/>
    <w:rsid w:val="00F12AE4"/>
    <w:rsid w:val="00F1394F"/>
    <w:rsid w:val="00F1681D"/>
    <w:rsid w:val="00F17B8E"/>
    <w:rsid w:val="00F21E64"/>
    <w:rsid w:val="00F37654"/>
    <w:rsid w:val="00F37BE5"/>
    <w:rsid w:val="00F41F73"/>
    <w:rsid w:val="00F51C22"/>
    <w:rsid w:val="00F5533C"/>
    <w:rsid w:val="00F706B6"/>
    <w:rsid w:val="00F85F82"/>
    <w:rsid w:val="00F91655"/>
    <w:rsid w:val="00F9416F"/>
    <w:rsid w:val="00F96686"/>
    <w:rsid w:val="00FB1B93"/>
    <w:rsid w:val="00FB2360"/>
    <w:rsid w:val="00FB374E"/>
    <w:rsid w:val="00FB48AB"/>
    <w:rsid w:val="00FB521D"/>
    <w:rsid w:val="00FB6F1A"/>
    <w:rsid w:val="00FC7101"/>
    <w:rsid w:val="00FC783B"/>
    <w:rsid w:val="00FD7F57"/>
    <w:rsid w:val="00FE4A35"/>
    <w:rsid w:val="00FF5829"/>
    <w:rsid w:val="00FF5B35"/>
    <w:rsid w:val="01DB55BC"/>
    <w:rsid w:val="02778CC2"/>
    <w:rsid w:val="03220BBB"/>
    <w:rsid w:val="034071D9"/>
    <w:rsid w:val="03A25023"/>
    <w:rsid w:val="04576CE2"/>
    <w:rsid w:val="04CEB735"/>
    <w:rsid w:val="08BDC317"/>
    <w:rsid w:val="0B4BF289"/>
    <w:rsid w:val="0C4A68AF"/>
    <w:rsid w:val="0DDBFD8D"/>
    <w:rsid w:val="0E4D9880"/>
    <w:rsid w:val="0E8B0E77"/>
    <w:rsid w:val="0FDADA3D"/>
    <w:rsid w:val="10803A07"/>
    <w:rsid w:val="11251076"/>
    <w:rsid w:val="1460BCFA"/>
    <w:rsid w:val="15BDC6F6"/>
    <w:rsid w:val="16060FA0"/>
    <w:rsid w:val="1B5DD410"/>
    <w:rsid w:val="1C334746"/>
    <w:rsid w:val="1EAE807C"/>
    <w:rsid w:val="1ECD4147"/>
    <w:rsid w:val="21E5F152"/>
    <w:rsid w:val="23111D41"/>
    <w:rsid w:val="2335EF6A"/>
    <w:rsid w:val="26759579"/>
    <w:rsid w:val="271BE42C"/>
    <w:rsid w:val="28FACCE9"/>
    <w:rsid w:val="297EBE4B"/>
    <w:rsid w:val="2CF7FD54"/>
    <w:rsid w:val="2DD357B7"/>
    <w:rsid w:val="2F327495"/>
    <w:rsid w:val="32AA0F95"/>
    <w:rsid w:val="32AB7352"/>
    <w:rsid w:val="3400A488"/>
    <w:rsid w:val="3442930F"/>
    <w:rsid w:val="3481A413"/>
    <w:rsid w:val="35BA9954"/>
    <w:rsid w:val="369489AC"/>
    <w:rsid w:val="3814E363"/>
    <w:rsid w:val="39004501"/>
    <w:rsid w:val="39B75CDC"/>
    <w:rsid w:val="39C3A81A"/>
    <w:rsid w:val="3B6238ED"/>
    <w:rsid w:val="3C4998E4"/>
    <w:rsid w:val="3CF81416"/>
    <w:rsid w:val="3E4411D1"/>
    <w:rsid w:val="4078BD70"/>
    <w:rsid w:val="40FA3D7D"/>
    <w:rsid w:val="4122DE5D"/>
    <w:rsid w:val="449C8018"/>
    <w:rsid w:val="47CFE06E"/>
    <w:rsid w:val="4AB7572C"/>
    <w:rsid w:val="4B0703B7"/>
    <w:rsid w:val="4C034C3E"/>
    <w:rsid w:val="4D3AA0FD"/>
    <w:rsid w:val="4D730B5E"/>
    <w:rsid w:val="4F6B98F6"/>
    <w:rsid w:val="510C56CE"/>
    <w:rsid w:val="525F89F1"/>
    <w:rsid w:val="52B814DC"/>
    <w:rsid w:val="52FA7D62"/>
    <w:rsid w:val="552AEED3"/>
    <w:rsid w:val="55F5D7D8"/>
    <w:rsid w:val="56386818"/>
    <w:rsid w:val="56E8A353"/>
    <w:rsid w:val="5742C205"/>
    <w:rsid w:val="58960DFA"/>
    <w:rsid w:val="5B8C5381"/>
    <w:rsid w:val="5CE72F09"/>
    <w:rsid w:val="5DE416E4"/>
    <w:rsid w:val="5FFE4399"/>
    <w:rsid w:val="6117AA89"/>
    <w:rsid w:val="61C53ECF"/>
    <w:rsid w:val="628D7790"/>
    <w:rsid w:val="6327819C"/>
    <w:rsid w:val="63907222"/>
    <w:rsid w:val="6575B2B4"/>
    <w:rsid w:val="659376EC"/>
    <w:rsid w:val="65B78A38"/>
    <w:rsid w:val="6625CD56"/>
    <w:rsid w:val="67D36051"/>
    <w:rsid w:val="684BF1B7"/>
    <w:rsid w:val="6A85ACC9"/>
    <w:rsid w:val="6C8AA7A5"/>
    <w:rsid w:val="6CEA6610"/>
    <w:rsid w:val="6D86B115"/>
    <w:rsid w:val="6ED2ADD3"/>
    <w:rsid w:val="6F769C7A"/>
    <w:rsid w:val="7020B70B"/>
    <w:rsid w:val="70A2F540"/>
    <w:rsid w:val="712254ED"/>
    <w:rsid w:val="7191968C"/>
    <w:rsid w:val="734DB306"/>
    <w:rsid w:val="73D9CBF5"/>
    <w:rsid w:val="765B3B08"/>
    <w:rsid w:val="76A3011A"/>
    <w:rsid w:val="788B8B2A"/>
    <w:rsid w:val="78CA18C4"/>
    <w:rsid w:val="7B31A00F"/>
    <w:rsid w:val="7C577D06"/>
    <w:rsid w:val="7CE1A61C"/>
    <w:rsid w:val="7F1EF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1836"/>
  <w15:chartTrackingRefBased/>
  <w15:docId w15:val="{129DC2CD-BC3C-4235-9A29-A2F8EF08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719"/>
    <w:rPr>
      <w:rFonts w:eastAsiaTheme="majorEastAsia" w:cstheme="majorBidi"/>
      <w:color w:val="272727" w:themeColor="text1" w:themeTint="D8"/>
    </w:rPr>
  </w:style>
  <w:style w:type="paragraph" w:styleId="Title">
    <w:name w:val="Title"/>
    <w:basedOn w:val="Normal"/>
    <w:next w:val="Normal"/>
    <w:link w:val="TitleChar"/>
    <w:uiPriority w:val="10"/>
    <w:qFormat/>
    <w:rsid w:val="00F01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719"/>
    <w:pPr>
      <w:spacing w:before="160"/>
      <w:jc w:val="center"/>
    </w:pPr>
    <w:rPr>
      <w:i/>
      <w:iCs/>
      <w:color w:val="404040" w:themeColor="text1" w:themeTint="BF"/>
    </w:rPr>
  </w:style>
  <w:style w:type="character" w:customStyle="1" w:styleId="QuoteChar">
    <w:name w:val="Quote Char"/>
    <w:basedOn w:val="DefaultParagraphFont"/>
    <w:link w:val="Quote"/>
    <w:uiPriority w:val="29"/>
    <w:rsid w:val="00F01719"/>
    <w:rPr>
      <w:i/>
      <w:iCs/>
      <w:color w:val="404040" w:themeColor="text1" w:themeTint="BF"/>
    </w:rPr>
  </w:style>
  <w:style w:type="paragraph" w:styleId="ListParagraph">
    <w:name w:val="List Paragraph"/>
    <w:basedOn w:val="Normal"/>
    <w:uiPriority w:val="34"/>
    <w:qFormat/>
    <w:rsid w:val="00F01719"/>
    <w:pPr>
      <w:ind w:left="720"/>
      <w:contextualSpacing/>
    </w:pPr>
  </w:style>
  <w:style w:type="character" w:styleId="IntenseEmphasis">
    <w:name w:val="Intense Emphasis"/>
    <w:basedOn w:val="DefaultParagraphFont"/>
    <w:uiPriority w:val="21"/>
    <w:qFormat/>
    <w:rsid w:val="00F01719"/>
    <w:rPr>
      <w:i/>
      <w:iCs/>
      <w:color w:val="0F4761" w:themeColor="accent1" w:themeShade="BF"/>
    </w:rPr>
  </w:style>
  <w:style w:type="paragraph" w:styleId="IntenseQuote">
    <w:name w:val="Intense Quote"/>
    <w:basedOn w:val="Normal"/>
    <w:next w:val="Normal"/>
    <w:link w:val="IntenseQuoteChar"/>
    <w:uiPriority w:val="30"/>
    <w:qFormat/>
    <w:rsid w:val="00F01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719"/>
    <w:rPr>
      <w:i/>
      <w:iCs/>
      <w:color w:val="0F4761" w:themeColor="accent1" w:themeShade="BF"/>
    </w:rPr>
  </w:style>
  <w:style w:type="character" w:styleId="IntenseReference">
    <w:name w:val="Intense Reference"/>
    <w:basedOn w:val="DefaultParagraphFont"/>
    <w:uiPriority w:val="32"/>
    <w:qFormat/>
    <w:rsid w:val="00F01719"/>
    <w:rPr>
      <w:b/>
      <w:bCs/>
      <w:smallCaps/>
      <w:color w:val="0F4761" w:themeColor="accent1" w:themeShade="BF"/>
      <w:spacing w:val="5"/>
    </w:rPr>
  </w:style>
  <w:style w:type="character" w:styleId="CommentReference">
    <w:name w:val="annotation reference"/>
    <w:basedOn w:val="DefaultParagraphFont"/>
    <w:uiPriority w:val="99"/>
    <w:semiHidden/>
    <w:unhideWhenUsed/>
    <w:rsid w:val="00B047CF"/>
    <w:rPr>
      <w:sz w:val="16"/>
      <w:szCs w:val="16"/>
    </w:rPr>
  </w:style>
  <w:style w:type="paragraph" w:styleId="CommentText">
    <w:name w:val="annotation text"/>
    <w:basedOn w:val="Normal"/>
    <w:link w:val="CommentTextChar"/>
    <w:uiPriority w:val="99"/>
    <w:unhideWhenUsed/>
    <w:rsid w:val="00B047CF"/>
    <w:pPr>
      <w:spacing w:line="240" w:lineRule="auto"/>
    </w:pPr>
    <w:rPr>
      <w:sz w:val="20"/>
      <w:szCs w:val="20"/>
    </w:rPr>
  </w:style>
  <w:style w:type="character" w:customStyle="1" w:styleId="CommentTextChar">
    <w:name w:val="Comment Text Char"/>
    <w:basedOn w:val="DefaultParagraphFont"/>
    <w:link w:val="CommentText"/>
    <w:uiPriority w:val="99"/>
    <w:rsid w:val="00B047CF"/>
    <w:rPr>
      <w:sz w:val="20"/>
      <w:szCs w:val="20"/>
    </w:rPr>
  </w:style>
  <w:style w:type="paragraph" w:styleId="CommentSubject">
    <w:name w:val="annotation subject"/>
    <w:basedOn w:val="CommentText"/>
    <w:next w:val="CommentText"/>
    <w:link w:val="CommentSubjectChar"/>
    <w:uiPriority w:val="99"/>
    <w:semiHidden/>
    <w:unhideWhenUsed/>
    <w:rsid w:val="00B047CF"/>
    <w:rPr>
      <w:b/>
      <w:bCs/>
    </w:rPr>
  </w:style>
  <w:style w:type="character" w:customStyle="1" w:styleId="CommentSubjectChar">
    <w:name w:val="Comment Subject Char"/>
    <w:basedOn w:val="CommentTextChar"/>
    <w:link w:val="CommentSubject"/>
    <w:uiPriority w:val="99"/>
    <w:semiHidden/>
    <w:rsid w:val="00B047CF"/>
    <w:rPr>
      <w:b/>
      <w:bCs/>
      <w:sz w:val="20"/>
      <w:szCs w:val="20"/>
    </w:rPr>
  </w:style>
  <w:style w:type="paragraph" w:styleId="NormalWeb">
    <w:name w:val="Normal (Web)"/>
    <w:basedOn w:val="Normal"/>
    <w:uiPriority w:val="99"/>
    <w:semiHidden/>
    <w:unhideWhenUsed/>
    <w:rsid w:val="008C5E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DC"/>
    <w:rPr>
      <w:b/>
      <w:bCs/>
    </w:rPr>
  </w:style>
  <w:style w:type="paragraph" w:styleId="Revision">
    <w:name w:val="Revision"/>
    <w:hidden/>
    <w:uiPriority w:val="99"/>
    <w:semiHidden/>
    <w:rsid w:val="00120D00"/>
    <w:pPr>
      <w:spacing w:after="0" w:line="240" w:lineRule="auto"/>
    </w:pPr>
  </w:style>
  <w:style w:type="character" w:styleId="Hyperlink">
    <w:name w:val="Hyperlink"/>
    <w:basedOn w:val="DefaultParagraphFont"/>
    <w:uiPriority w:val="99"/>
    <w:unhideWhenUsed/>
    <w:rsid w:val="00736AC4"/>
    <w:rPr>
      <w:color w:val="467886" w:themeColor="hyperlink"/>
      <w:u w:val="single"/>
    </w:rPr>
  </w:style>
  <w:style w:type="character" w:styleId="UnresolvedMention">
    <w:name w:val="Unresolved Mention"/>
    <w:basedOn w:val="DefaultParagraphFont"/>
    <w:uiPriority w:val="99"/>
    <w:semiHidden/>
    <w:unhideWhenUsed/>
    <w:rsid w:val="00736AC4"/>
    <w:rPr>
      <w:color w:val="605E5C"/>
      <w:shd w:val="clear" w:color="auto" w:fill="E1DFDD"/>
    </w:rPr>
  </w:style>
  <w:style w:type="paragraph" w:styleId="Header">
    <w:name w:val="header"/>
    <w:basedOn w:val="Normal"/>
    <w:link w:val="HeaderChar"/>
    <w:uiPriority w:val="99"/>
    <w:unhideWhenUsed/>
    <w:rsid w:val="00987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559"/>
  </w:style>
  <w:style w:type="paragraph" w:styleId="Footer">
    <w:name w:val="footer"/>
    <w:basedOn w:val="Normal"/>
    <w:link w:val="FooterChar"/>
    <w:uiPriority w:val="99"/>
    <w:unhideWhenUsed/>
    <w:rsid w:val="00987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559"/>
  </w:style>
  <w:style w:type="paragraph" w:styleId="TOCHeading">
    <w:name w:val="TOC Heading"/>
    <w:basedOn w:val="Heading1"/>
    <w:next w:val="Normal"/>
    <w:uiPriority w:val="39"/>
    <w:unhideWhenUsed/>
    <w:qFormat/>
    <w:rsid w:val="00071E6B"/>
    <w:pPr>
      <w:spacing w:before="240" w:after="0"/>
      <w:outlineLvl w:val="9"/>
    </w:pPr>
    <w:rPr>
      <w:sz w:val="32"/>
      <w:szCs w:val="32"/>
    </w:rPr>
  </w:style>
  <w:style w:type="paragraph" w:styleId="TOC1">
    <w:name w:val="toc 1"/>
    <w:basedOn w:val="Normal"/>
    <w:next w:val="Normal"/>
    <w:autoRedefine/>
    <w:uiPriority w:val="39"/>
    <w:unhideWhenUsed/>
    <w:rsid w:val="00661E2B"/>
    <w:pPr>
      <w:spacing w:after="100"/>
    </w:pPr>
  </w:style>
  <w:style w:type="paragraph" w:styleId="TOC2">
    <w:name w:val="toc 2"/>
    <w:basedOn w:val="Normal"/>
    <w:next w:val="Normal"/>
    <w:autoRedefine/>
    <w:uiPriority w:val="39"/>
    <w:unhideWhenUsed/>
    <w:rsid w:val="00661E2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0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Q.Brownfield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BA3EA-A09A-4C8F-9E68-12CC2A4D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2561</Words>
  <Characters>14603</Characters>
  <Application>Microsoft Office Word</Application>
  <DocSecurity>8</DocSecurity>
  <Lines>121</Lines>
  <Paragraphs>34</Paragraphs>
  <ScaleCrop>false</ScaleCrop>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Katie</dc:creator>
  <cp:keywords/>
  <dc:description/>
  <cp:lastModifiedBy>Morris, Katie</cp:lastModifiedBy>
  <cp:revision>2</cp:revision>
  <dcterms:created xsi:type="dcterms:W3CDTF">2025-11-21T15:20:00Z</dcterms:created>
  <dcterms:modified xsi:type="dcterms:W3CDTF">2025-11-21T15:20:00Z</dcterms:modified>
</cp:coreProperties>
</file>